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6B523" w14:textId="0BA35245" w:rsidR="00C225A0" w:rsidRPr="00295B9E" w:rsidRDefault="00C225A0" w:rsidP="00C225A0">
      <w:pPr>
        <w:pStyle w:val="Sectorbody"/>
        <w:ind w:left="-709" w:right="120"/>
      </w:pPr>
      <w:r w:rsidRPr="00295B9E">
        <w:rPr>
          <w:rFonts w:cs="GillSans Light"/>
          <w:color w:val="000000"/>
        </w:rPr>
        <w:t xml:space="preserve">The trade and investment sectors contained in the Economic Development Plan have been compiled from Australian and New Zealand Standard Industry Classification (ANZSIC) classes using a value chain approach. This means that industry classes from ANZSIC have been grouped together to provide estimates of the size of the </w:t>
      </w:r>
      <w:r w:rsidR="0013310F">
        <w:rPr>
          <w:rFonts w:cs="GillSans Light"/>
          <w:color w:val="000000"/>
        </w:rPr>
        <w:t>particular</w:t>
      </w:r>
      <w:r w:rsidR="0013310F" w:rsidRPr="00295B9E">
        <w:rPr>
          <w:rFonts w:cs="GillSans Light"/>
          <w:color w:val="000000"/>
        </w:rPr>
        <w:t xml:space="preserve"> </w:t>
      </w:r>
      <w:r w:rsidRPr="00295B9E">
        <w:rPr>
          <w:rFonts w:cs="GillSans Light"/>
          <w:color w:val="000000"/>
        </w:rPr>
        <w:t>trade and investment sectors</w:t>
      </w:r>
      <w:r w:rsidRPr="00295B9E">
        <w:t xml:space="preserve">. </w:t>
      </w:r>
    </w:p>
    <w:p w14:paraId="2EC6B524" w14:textId="77777777" w:rsidR="00D60D44" w:rsidRDefault="00D60D44" w:rsidP="00C225A0">
      <w:pPr>
        <w:pStyle w:val="Sectorbody"/>
        <w:ind w:left="-709"/>
        <w:jc w:val="left"/>
      </w:pPr>
      <w:r w:rsidRPr="00D60D44">
        <w:rPr>
          <w:b/>
        </w:rPr>
        <w:t>Coverage:</w:t>
      </w:r>
      <w:r w:rsidRPr="00D60D44">
        <w:t xml:space="preserve"> </w:t>
      </w:r>
      <w:r w:rsidR="00B83CEC" w:rsidRPr="000C39EE">
        <w:t>the generation of electricity through renewable sources such as water and wind</w:t>
      </w:r>
      <w:r w:rsidRPr="00D60D44">
        <w:t>.</w:t>
      </w:r>
    </w:p>
    <w:tbl>
      <w:tblPr>
        <w:tblW w:w="10348" w:type="dxa"/>
        <w:tblInd w:w="-601" w:type="dxa"/>
        <w:tblLayout w:type="fixed"/>
        <w:tblLook w:val="04A0" w:firstRow="1" w:lastRow="0" w:firstColumn="1" w:lastColumn="0" w:noHBand="0" w:noVBand="1"/>
      </w:tblPr>
      <w:tblGrid>
        <w:gridCol w:w="2977"/>
        <w:gridCol w:w="142"/>
        <w:gridCol w:w="142"/>
        <w:gridCol w:w="850"/>
        <w:gridCol w:w="993"/>
        <w:gridCol w:w="1025"/>
        <w:gridCol w:w="534"/>
        <w:gridCol w:w="283"/>
        <w:gridCol w:w="851"/>
        <w:gridCol w:w="1276"/>
        <w:gridCol w:w="1275"/>
      </w:tblGrid>
      <w:tr w:rsidR="0002159F" w:rsidRPr="00C34B37" w14:paraId="2EC6B528" w14:textId="77777777" w:rsidTr="00B27DE1">
        <w:tc>
          <w:tcPr>
            <w:tcW w:w="6663" w:type="dxa"/>
            <w:gridSpan w:val="7"/>
            <w:shd w:val="clear" w:color="auto" w:fill="C5DDC7"/>
          </w:tcPr>
          <w:p w14:paraId="2EC6B525" w14:textId="77777777" w:rsidR="0002159F" w:rsidRPr="00C34B37" w:rsidRDefault="0002159F" w:rsidP="00C225A0">
            <w:pPr>
              <w:spacing w:after="0" w:line="240" w:lineRule="auto"/>
              <w:rPr>
                <w:rFonts w:ascii="Gill Sans MT" w:hAnsi="Gill Sans MT"/>
                <w:b/>
              </w:rPr>
            </w:pPr>
            <w:r w:rsidRPr="00C34B37">
              <w:rPr>
                <w:rFonts w:ascii="Gill Sans MT" w:hAnsi="Gill Sans MT"/>
                <w:b/>
              </w:rPr>
              <w:t>Key indicators</w:t>
            </w:r>
          </w:p>
        </w:tc>
        <w:tc>
          <w:tcPr>
            <w:tcW w:w="283" w:type="dxa"/>
            <w:shd w:val="clear" w:color="auto" w:fill="FFFFFF"/>
          </w:tcPr>
          <w:p w14:paraId="2EC6B526" w14:textId="77777777" w:rsidR="0002159F" w:rsidRPr="00C34B37" w:rsidRDefault="0002159F" w:rsidP="00C225A0">
            <w:pPr>
              <w:spacing w:after="0" w:line="240" w:lineRule="auto"/>
              <w:rPr>
                <w:rFonts w:ascii="Gill Sans MT" w:hAnsi="Gill Sans MT"/>
                <w:b/>
              </w:rPr>
            </w:pPr>
          </w:p>
        </w:tc>
        <w:tc>
          <w:tcPr>
            <w:tcW w:w="3402" w:type="dxa"/>
            <w:gridSpan w:val="3"/>
            <w:shd w:val="clear" w:color="auto" w:fill="C5DDC7"/>
          </w:tcPr>
          <w:p w14:paraId="2EC6B527" w14:textId="77777777" w:rsidR="0002159F" w:rsidRPr="00C34B37" w:rsidRDefault="00C225A0" w:rsidP="00C225A0">
            <w:pPr>
              <w:spacing w:after="0" w:line="240" w:lineRule="auto"/>
              <w:rPr>
                <w:rFonts w:ascii="Gill Sans MT" w:hAnsi="Gill Sans MT"/>
                <w:b/>
              </w:rPr>
            </w:pPr>
            <w:r>
              <w:rPr>
                <w:rFonts w:ascii="Gill Sans MT" w:hAnsi="Gill Sans MT"/>
                <w:b/>
              </w:rPr>
              <w:t>Regional e</w:t>
            </w:r>
            <w:r w:rsidR="0002159F" w:rsidRPr="00C34B37">
              <w:rPr>
                <w:rFonts w:ascii="Gill Sans MT" w:hAnsi="Gill Sans MT"/>
                <w:b/>
              </w:rPr>
              <w:t>mployment</w:t>
            </w:r>
          </w:p>
        </w:tc>
      </w:tr>
      <w:tr w:rsidR="0002159F" w:rsidRPr="00C34B37" w14:paraId="2EC6B52D" w14:textId="77777777" w:rsidTr="0031621C">
        <w:trPr>
          <w:trHeight w:val="3155"/>
        </w:trPr>
        <w:tc>
          <w:tcPr>
            <w:tcW w:w="6663" w:type="dxa"/>
            <w:gridSpan w:val="7"/>
          </w:tcPr>
          <w:p w14:paraId="2EC6B529" w14:textId="77777777" w:rsidR="0002159F" w:rsidRPr="00C34B37" w:rsidRDefault="0002159F" w:rsidP="00C225A0">
            <w:pPr>
              <w:spacing w:after="0" w:line="240" w:lineRule="auto"/>
              <w:rPr>
                <w:rFonts w:ascii="Gill Sans MT" w:hAnsi="Gill Sans MT"/>
              </w:rPr>
            </w:pPr>
            <w:r>
              <w:rPr>
                <w:noProof/>
                <w:lang w:eastAsia="en-AU"/>
              </w:rPr>
              <w:drawing>
                <wp:inline distT="0" distB="0" distL="0" distR="0" wp14:anchorId="2EC6B5BE" wp14:editId="2EC6B5BF">
                  <wp:extent cx="4253023" cy="257308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83" w:type="dxa"/>
            <w:shd w:val="clear" w:color="auto" w:fill="FFFFFF"/>
          </w:tcPr>
          <w:p w14:paraId="2EC6B52A" w14:textId="77777777" w:rsidR="0002159F" w:rsidRPr="000C5351" w:rsidRDefault="0002159F" w:rsidP="00C225A0">
            <w:pPr>
              <w:spacing w:after="0" w:line="240" w:lineRule="auto"/>
              <w:rPr>
                <w:rFonts w:ascii="Gill Sans MT" w:hAnsi="Gill Sans MT"/>
                <w:sz w:val="8"/>
              </w:rPr>
            </w:pPr>
          </w:p>
        </w:tc>
        <w:tc>
          <w:tcPr>
            <w:tcW w:w="3402" w:type="dxa"/>
            <w:gridSpan w:val="3"/>
            <w:vMerge w:val="restart"/>
            <w:shd w:val="clear" w:color="auto" w:fill="auto"/>
            <w:vAlign w:val="bottom"/>
          </w:tcPr>
          <w:p w14:paraId="2EC6B52B" w14:textId="77777777" w:rsidR="0002159F" w:rsidRPr="00C34B37" w:rsidRDefault="00B16281" w:rsidP="00B16281">
            <w:pPr>
              <w:spacing w:after="0" w:line="240" w:lineRule="auto"/>
              <w:rPr>
                <w:rFonts w:ascii="Gill Sans MT" w:hAnsi="Gill Sans MT"/>
              </w:rPr>
            </w:pPr>
            <w:r>
              <w:rPr>
                <w:noProof/>
                <w:lang w:eastAsia="en-AU"/>
              </w:rPr>
              <w:drawing>
                <wp:anchor distT="0" distB="0" distL="114300" distR="114300" simplePos="0" relativeHeight="251658240" behindDoc="0" locked="0" layoutInCell="1" allowOverlap="1" wp14:anchorId="2EC6B5C0" wp14:editId="2EC6B5C1">
                  <wp:simplePos x="4781550" y="4305300"/>
                  <wp:positionH relativeFrom="margin">
                    <wp:posOffset>-68580</wp:posOffset>
                  </wp:positionH>
                  <wp:positionV relativeFrom="margin">
                    <wp:posOffset>0</wp:posOffset>
                  </wp:positionV>
                  <wp:extent cx="2257425" cy="2143125"/>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Gill Sans MT" w:hAnsi="Gill Sans MT"/>
                <w:i/>
                <w:sz w:val="16"/>
                <w:szCs w:val="12"/>
              </w:rPr>
              <w:t>The above statistics have been represented to the nearest whole number.</w:t>
            </w:r>
          </w:p>
          <w:p w14:paraId="2EC6B52C" w14:textId="77777777" w:rsidR="0002159F" w:rsidRPr="00C34B37" w:rsidRDefault="0002159F" w:rsidP="00B16281">
            <w:pPr>
              <w:spacing w:after="0" w:line="240" w:lineRule="auto"/>
              <w:ind w:left="-251"/>
              <w:rPr>
                <w:rFonts w:ascii="Gill Sans MT" w:hAnsi="Gill Sans MT"/>
              </w:rPr>
            </w:pPr>
          </w:p>
        </w:tc>
      </w:tr>
      <w:tr w:rsidR="0002159F" w:rsidRPr="00C34B37" w14:paraId="2EC6B533" w14:textId="77777777" w:rsidTr="00B27DE1">
        <w:trPr>
          <w:trHeight w:val="350"/>
        </w:trPr>
        <w:tc>
          <w:tcPr>
            <w:tcW w:w="2977" w:type="dxa"/>
          </w:tcPr>
          <w:p w14:paraId="2EC6B52E" w14:textId="77777777" w:rsidR="0002159F" w:rsidRPr="00915737" w:rsidRDefault="0002159F" w:rsidP="00C225A0">
            <w:pPr>
              <w:spacing w:after="0" w:line="240" w:lineRule="auto"/>
              <w:rPr>
                <w:rFonts w:ascii="Gill Sans MT" w:hAnsi="Gill Sans MT"/>
                <w:sz w:val="4"/>
                <w:szCs w:val="12"/>
              </w:rPr>
            </w:pPr>
          </w:p>
        </w:tc>
        <w:tc>
          <w:tcPr>
            <w:tcW w:w="284" w:type="dxa"/>
            <w:gridSpan w:val="2"/>
            <w:shd w:val="clear" w:color="auto" w:fill="FFFFFF"/>
          </w:tcPr>
          <w:p w14:paraId="2EC6B52F" w14:textId="77777777" w:rsidR="0002159F" w:rsidRPr="00C34B37" w:rsidRDefault="0002159F" w:rsidP="00C225A0">
            <w:pPr>
              <w:spacing w:after="0" w:line="240" w:lineRule="auto"/>
              <w:rPr>
                <w:rFonts w:ascii="Gill Sans MT" w:hAnsi="Gill Sans MT"/>
                <w:sz w:val="12"/>
                <w:szCs w:val="12"/>
              </w:rPr>
            </w:pPr>
          </w:p>
        </w:tc>
        <w:tc>
          <w:tcPr>
            <w:tcW w:w="3402" w:type="dxa"/>
            <w:gridSpan w:val="4"/>
          </w:tcPr>
          <w:p w14:paraId="2EC6B530" w14:textId="77777777" w:rsidR="0002159F" w:rsidRPr="00C34B37" w:rsidRDefault="0002159F" w:rsidP="00C225A0">
            <w:pPr>
              <w:spacing w:after="0" w:line="240" w:lineRule="auto"/>
              <w:rPr>
                <w:rFonts w:ascii="Gill Sans MT" w:hAnsi="Gill Sans MT"/>
                <w:sz w:val="12"/>
                <w:szCs w:val="12"/>
              </w:rPr>
            </w:pPr>
          </w:p>
        </w:tc>
        <w:tc>
          <w:tcPr>
            <w:tcW w:w="283" w:type="dxa"/>
            <w:shd w:val="clear" w:color="auto" w:fill="FFFFFF"/>
          </w:tcPr>
          <w:p w14:paraId="2EC6B531" w14:textId="77777777" w:rsidR="0002159F" w:rsidRPr="00C34B37" w:rsidRDefault="0002159F" w:rsidP="00C225A0">
            <w:pPr>
              <w:spacing w:after="0" w:line="240" w:lineRule="auto"/>
              <w:rPr>
                <w:rFonts w:ascii="Gill Sans MT" w:hAnsi="Gill Sans MT"/>
                <w:sz w:val="12"/>
                <w:szCs w:val="12"/>
              </w:rPr>
            </w:pPr>
          </w:p>
        </w:tc>
        <w:tc>
          <w:tcPr>
            <w:tcW w:w="3402" w:type="dxa"/>
            <w:gridSpan w:val="3"/>
            <w:vMerge/>
            <w:shd w:val="clear" w:color="auto" w:fill="auto"/>
          </w:tcPr>
          <w:p w14:paraId="2EC6B532" w14:textId="77777777" w:rsidR="0002159F" w:rsidRPr="00C34B37" w:rsidRDefault="0002159F" w:rsidP="00C225A0">
            <w:pPr>
              <w:spacing w:after="0" w:line="240" w:lineRule="auto"/>
              <w:rPr>
                <w:rFonts w:ascii="Gill Sans MT" w:hAnsi="Gill Sans MT"/>
                <w:sz w:val="12"/>
                <w:szCs w:val="12"/>
              </w:rPr>
            </w:pPr>
          </w:p>
        </w:tc>
      </w:tr>
      <w:tr w:rsidR="0002159F" w:rsidRPr="00C34B37" w14:paraId="2EC6B535" w14:textId="77777777" w:rsidTr="0002159F">
        <w:trPr>
          <w:trHeight w:val="283"/>
        </w:trPr>
        <w:tc>
          <w:tcPr>
            <w:tcW w:w="10348" w:type="dxa"/>
            <w:gridSpan w:val="11"/>
            <w:shd w:val="clear" w:color="auto" w:fill="C5DDC7"/>
          </w:tcPr>
          <w:p w14:paraId="2EC6B534" w14:textId="77777777" w:rsidR="0002159F" w:rsidRPr="00C34B37" w:rsidRDefault="0002159F" w:rsidP="00C225A0">
            <w:pPr>
              <w:spacing w:after="0" w:line="240" w:lineRule="auto"/>
              <w:rPr>
                <w:rFonts w:ascii="Gill Sans MT" w:hAnsi="Gill Sans MT"/>
                <w:b/>
              </w:rPr>
            </w:pPr>
            <w:r w:rsidRPr="00C34B37">
              <w:rPr>
                <w:rFonts w:ascii="Gill Sans MT" w:hAnsi="Gill Sans MT"/>
                <w:b/>
              </w:rPr>
              <w:t>Key statistics at a glance</w:t>
            </w:r>
          </w:p>
        </w:tc>
      </w:tr>
      <w:tr w:rsidR="0002159F" w:rsidRPr="0002159F" w14:paraId="2EC6B537" w14:textId="77777777" w:rsidTr="0002159F">
        <w:trPr>
          <w:trHeight w:val="87"/>
        </w:trPr>
        <w:tc>
          <w:tcPr>
            <w:tcW w:w="10348" w:type="dxa"/>
            <w:gridSpan w:val="11"/>
            <w:shd w:val="clear" w:color="auto" w:fill="auto"/>
          </w:tcPr>
          <w:p w14:paraId="2EC6B536" w14:textId="77777777" w:rsidR="0002159F" w:rsidRPr="0002159F" w:rsidRDefault="0002159F" w:rsidP="00C225A0">
            <w:pPr>
              <w:spacing w:after="0" w:line="240" w:lineRule="auto"/>
              <w:rPr>
                <w:rFonts w:ascii="Gill Sans MT" w:hAnsi="Gill Sans MT"/>
                <w:b/>
                <w:sz w:val="2"/>
              </w:rPr>
            </w:pPr>
          </w:p>
        </w:tc>
      </w:tr>
      <w:tr w:rsidR="0002159F" w:rsidRPr="0002159F" w14:paraId="2EC6B53F" w14:textId="77777777" w:rsidTr="0002159F">
        <w:trPr>
          <w:trHeight w:val="840"/>
        </w:trPr>
        <w:tc>
          <w:tcPr>
            <w:tcW w:w="3119" w:type="dxa"/>
            <w:gridSpan w:val="2"/>
            <w:tcBorders>
              <w:top w:val="nil"/>
              <w:left w:val="nil"/>
              <w:bottom w:val="single" w:sz="12" w:space="0" w:color="FFFFFF"/>
              <w:right w:val="single" w:sz="4" w:space="0" w:color="FFFFFF"/>
            </w:tcBorders>
            <w:shd w:val="clear" w:color="auto" w:fill="E2EEE3"/>
            <w:hideMark/>
          </w:tcPr>
          <w:p w14:paraId="2EC6B538"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Indicator</w:t>
            </w:r>
          </w:p>
        </w:tc>
        <w:tc>
          <w:tcPr>
            <w:tcW w:w="992" w:type="dxa"/>
            <w:gridSpan w:val="2"/>
            <w:tcBorders>
              <w:top w:val="nil"/>
              <w:left w:val="single" w:sz="4" w:space="0" w:color="FFFFFF"/>
              <w:bottom w:val="single" w:sz="12" w:space="0" w:color="FFFFFF"/>
              <w:right w:val="single" w:sz="4" w:space="0" w:color="FFFFFF"/>
            </w:tcBorders>
            <w:shd w:val="clear" w:color="auto" w:fill="E2EEE3"/>
            <w:hideMark/>
          </w:tcPr>
          <w:p w14:paraId="2EC6B539"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Units</w:t>
            </w:r>
          </w:p>
        </w:tc>
        <w:tc>
          <w:tcPr>
            <w:tcW w:w="993" w:type="dxa"/>
            <w:tcBorders>
              <w:top w:val="nil"/>
              <w:left w:val="single" w:sz="4" w:space="0" w:color="FFFFFF"/>
              <w:bottom w:val="single" w:sz="12" w:space="0" w:color="FFFFFF"/>
              <w:right w:val="single" w:sz="4" w:space="0" w:color="FFFFFF"/>
            </w:tcBorders>
            <w:shd w:val="clear" w:color="auto" w:fill="E2EEE3"/>
            <w:hideMark/>
          </w:tcPr>
          <w:p w14:paraId="2EC6B53A"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Period</w:t>
            </w:r>
          </w:p>
        </w:tc>
        <w:tc>
          <w:tcPr>
            <w:tcW w:w="1025" w:type="dxa"/>
            <w:tcBorders>
              <w:top w:val="nil"/>
              <w:left w:val="single" w:sz="4" w:space="0" w:color="FFFFFF"/>
              <w:bottom w:val="single" w:sz="12" w:space="0" w:color="FFFFFF"/>
              <w:right w:val="single" w:sz="4" w:space="0" w:color="FFFFFF"/>
            </w:tcBorders>
            <w:shd w:val="clear" w:color="auto" w:fill="E2EEE3"/>
            <w:hideMark/>
          </w:tcPr>
          <w:p w14:paraId="2EC6B53B"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Data</w:t>
            </w:r>
          </w:p>
        </w:tc>
        <w:tc>
          <w:tcPr>
            <w:tcW w:w="1668" w:type="dxa"/>
            <w:gridSpan w:val="3"/>
            <w:tcBorders>
              <w:top w:val="nil"/>
              <w:left w:val="single" w:sz="4" w:space="0" w:color="FFFFFF"/>
              <w:bottom w:val="single" w:sz="12" w:space="0" w:color="FFFFFF"/>
              <w:right w:val="single" w:sz="4" w:space="0" w:color="FFFFFF"/>
            </w:tcBorders>
            <w:shd w:val="clear" w:color="auto" w:fill="E2EEE3"/>
            <w:hideMark/>
          </w:tcPr>
          <w:p w14:paraId="2EC6B53C" w14:textId="77777777" w:rsidR="0002159F" w:rsidRPr="0002159F" w:rsidRDefault="00C225A0" w:rsidP="00C225A0">
            <w:pPr>
              <w:spacing w:after="0" w:line="240" w:lineRule="auto"/>
              <w:rPr>
                <w:rFonts w:ascii="Tahoma" w:eastAsia="Times New Roman" w:hAnsi="Tahoma" w:cs="Tahoma"/>
                <w:b/>
                <w:bCs/>
                <w:sz w:val="16"/>
                <w:szCs w:val="16"/>
                <w:lang w:eastAsia="en-AU"/>
              </w:rPr>
            </w:pPr>
            <w:r>
              <w:rPr>
                <w:rFonts w:ascii="Tahoma" w:eastAsia="Times New Roman" w:hAnsi="Tahoma" w:cs="Tahoma"/>
                <w:b/>
                <w:bCs/>
                <w:sz w:val="16"/>
                <w:szCs w:val="16"/>
                <w:lang w:eastAsia="en-AU"/>
              </w:rPr>
              <w:t>Change f</w:t>
            </w:r>
            <w:r w:rsidR="0002159F" w:rsidRPr="0002159F">
              <w:rPr>
                <w:rFonts w:ascii="Tahoma" w:eastAsia="Times New Roman" w:hAnsi="Tahoma" w:cs="Tahoma"/>
                <w:b/>
                <w:bCs/>
                <w:sz w:val="16"/>
                <w:szCs w:val="16"/>
                <w:lang w:eastAsia="en-AU"/>
              </w:rPr>
              <w:t xml:space="preserve">rom </w:t>
            </w:r>
            <w:r>
              <w:rPr>
                <w:rFonts w:ascii="Tahoma" w:eastAsia="Times New Roman" w:hAnsi="Tahoma" w:cs="Tahoma"/>
                <w:b/>
                <w:bCs/>
                <w:sz w:val="16"/>
                <w:szCs w:val="16"/>
                <w:lang w:eastAsia="en-AU"/>
              </w:rPr>
              <w:br/>
              <w:t>five years a</w:t>
            </w:r>
            <w:r w:rsidR="0002159F" w:rsidRPr="0002159F">
              <w:rPr>
                <w:rFonts w:ascii="Tahoma" w:eastAsia="Times New Roman" w:hAnsi="Tahoma" w:cs="Tahoma"/>
                <w:b/>
                <w:bCs/>
                <w:sz w:val="16"/>
                <w:szCs w:val="16"/>
                <w:lang w:eastAsia="en-AU"/>
              </w:rPr>
              <w:t>go</w:t>
            </w:r>
          </w:p>
        </w:tc>
        <w:tc>
          <w:tcPr>
            <w:tcW w:w="1276" w:type="dxa"/>
            <w:tcBorders>
              <w:top w:val="nil"/>
              <w:left w:val="single" w:sz="4" w:space="0" w:color="FFFFFF"/>
              <w:bottom w:val="single" w:sz="12" w:space="0" w:color="FFFFFF"/>
              <w:right w:val="single" w:sz="4" w:space="0" w:color="FFFFFF"/>
            </w:tcBorders>
            <w:shd w:val="clear" w:color="auto" w:fill="E2EEE3"/>
            <w:hideMark/>
          </w:tcPr>
          <w:p w14:paraId="2EC6B53D"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Per</w:t>
            </w:r>
            <w:r w:rsidR="00C225A0">
              <w:rPr>
                <w:rFonts w:ascii="Tahoma" w:eastAsia="Times New Roman" w:hAnsi="Tahoma" w:cs="Tahoma"/>
                <w:b/>
                <w:bCs/>
                <w:sz w:val="16"/>
                <w:szCs w:val="16"/>
                <w:lang w:eastAsia="en-AU"/>
              </w:rPr>
              <w:t xml:space="preserve"> </w:t>
            </w:r>
            <w:r w:rsidRPr="0002159F">
              <w:rPr>
                <w:rFonts w:ascii="Tahoma" w:eastAsia="Times New Roman" w:hAnsi="Tahoma" w:cs="Tahoma"/>
                <w:b/>
                <w:bCs/>
                <w:sz w:val="16"/>
                <w:szCs w:val="16"/>
                <w:lang w:eastAsia="en-AU"/>
              </w:rPr>
              <w:t>cent of Tasmania</w:t>
            </w:r>
          </w:p>
        </w:tc>
        <w:tc>
          <w:tcPr>
            <w:tcW w:w="1275" w:type="dxa"/>
            <w:tcBorders>
              <w:top w:val="nil"/>
              <w:left w:val="single" w:sz="4" w:space="0" w:color="FFFFFF"/>
              <w:bottom w:val="single" w:sz="12" w:space="0" w:color="FFFFFF"/>
              <w:right w:val="nil"/>
            </w:tcBorders>
            <w:shd w:val="clear" w:color="auto" w:fill="E2EEE3"/>
            <w:hideMark/>
          </w:tcPr>
          <w:p w14:paraId="2EC6B53E" w14:textId="77777777" w:rsidR="0002159F" w:rsidRPr="0002159F" w:rsidRDefault="0002159F" w:rsidP="00C225A0">
            <w:pPr>
              <w:spacing w:after="0" w:line="240" w:lineRule="auto"/>
              <w:rPr>
                <w:rFonts w:ascii="Tahoma" w:eastAsia="Times New Roman" w:hAnsi="Tahoma" w:cs="Tahoma"/>
                <w:b/>
                <w:bCs/>
                <w:sz w:val="16"/>
                <w:szCs w:val="16"/>
                <w:lang w:eastAsia="en-AU"/>
              </w:rPr>
            </w:pPr>
            <w:r w:rsidRPr="0002159F">
              <w:rPr>
                <w:rFonts w:ascii="Tahoma" w:eastAsia="Times New Roman" w:hAnsi="Tahoma" w:cs="Tahoma"/>
                <w:b/>
                <w:bCs/>
                <w:sz w:val="16"/>
                <w:szCs w:val="16"/>
                <w:lang w:eastAsia="en-AU"/>
              </w:rPr>
              <w:t>Per</w:t>
            </w:r>
            <w:r w:rsidR="00C225A0">
              <w:rPr>
                <w:rFonts w:ascii="Tahoma" w:eastAsia="Times New Roman" w:hAnsi="Tahoma" w:cs="Tahoma"/>
                <w:b/>
                <w:bCs/>
                <w:sz w:val="16"/>
                <w:szCs w:val="16"/>
                <w:lang w:eastAsia="en-AU"/>
              </w:rPr>
              <w:t xml:space="preserve"> </w:t>
            </w:r>
            <w:r w:rsidRPr="0002159F">
              <w:rPr>
                <w:rFonts w:ascii="Tahoma" w:eastAsia="Times New Roman" w:hAnsi="Tahoma" w:cs="Tahoma"/>
                <w:b/>
                <w:bCs/>
                <w:sz w:val="16"/>
                <w:szCs w:val="16"/>
                <w:lang w:eastAsia="en-AU"/>
              </w:rPr>
              <w:t>cent of Australia</w:t>
            </w:r>
          </w:p>
        </w:tc>
      </w:tr>
      <w:tr w:rsidR="0002159F" w:rsidRPr="0002159F" w14:paraId="2EC6B547" w14:textId="77777777" w:rsidTr="0002159F">
        <w:trPr>
          <w:trHeight w:val="225"/>
        </w:trPr>
        <w:tc>
          <w:tcPr>
            <w:tcW w:w="3119" w:type="dxa"/>
            <w:gridSpan w:val="2"/>
            <w:tcBorders>
              <w:top w:val="single" w:sz="4" w:space="0" w:color="FFFFFF"/>
              <w:left w:val="nil"/>
              <w:bottom w:val="single" w:sz="4" w:space="0" w:color="FFFFFF"/>
              <w:right w:val="single" w:sz="4" w:space="0" w:color="FFFFFF"/>
            </w:tcBorders>
            <w:shd w:val="clear" w:color="auto" w:fill="C5DDC7"/>
            <w:noWrap/>
            <w:vAlign w:val="bottom"/>
            <w:hideMark/>
          </w:tcPr>
          <w:p w14:paraId="2EC6B540" w14:textId="77777777" w:rsidR="0002159F" w:rsidRPr="0002159F" w:rsidRDefault="00C225A0" w:rsidP="00C225A0">
            <w:pPr>
              <w:spacing w:after="0" w:line="240" w:lineRule="auto"/>
              <w:rPr>
                <w:rFonts w:ascii="Tahoma" w:eastAsia="Times New Roman" w:hAnsi="Tahoma" w:cs="Tahoma"/>
                <w:sz w:val="16"/>
                <w:szCs w:val="16"/>
                <w:lang w:eastAsia="en-AU"/>
              </w:rPr>
            </w:pPr>
            <w:r>
              <w:rPr>
                <w:rFonts w:ascii="Tahoma" w:eastAsia="Times New Roman" w:hAnsi="Tahoma" w:cs="Tahoma"/>
                <w:sz w:val="16"/>
                <w:szCs w:val="16"/>
                <w:lang w:eastAsia="en-AU"/>
              </w:rPr>
              <w:t>Industry value a</w:t>
            </w:r>
            <w:r w:rsidR="0002159F" w:rsidRPr="0002159F">
              <w:rPr>
                <w:rFonts w:ascii="Tahoma" w:eastAsia="Times New Roman" w:hAnsi="Tahoma" w:cs="Tahoma"/>
                <w:sz w:val="16"/>
                <w:szCs w:val="16"/>
                <w:lang w:eastAsia="en-AU"/>
              </w:rPr>
              <w:t>dd</w:t>
            </w:r>
            <w:r w:rsidR="0002159F" w:rsidRPr="0002159F">
              <w:rPr>
                <w:rFonts w:ascii="Tahoma" w:eastAsia="Times New Roman" w:hAnsi="Tahoma" w:cs="Tahoma"/>
                <w:sz w:val="16"/>
                <w:szCs w:val="16"/>
                <w:vertAlign w:val="superscript"/>
                <w:lang w:eastAsia="en-AU"/>
              </w:rPr>
              <w:t xml:space="preserve"> (a)</w:t>
            </w:r>
          </w:p>
        </w:tc>
        <w:tc>
          <w:tcPr>
            <w:tcW w:w="992" w:type="dxa"/>
            <w:gridSpan w:val="2"/>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41"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$M</w:t>
            </w:r>
          </w:p>
        </w:tc>
        <w:tc>
          <w:tcPr>
            <w:tcW w:w="993"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42"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2012-13</w:t>
            </w:r>
          </w:p>
        </w:tc>
        <w:tc>
          <w:tcPr>
            <w:tcW w:w="1025"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43"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$337</w:t>
            </w:r>
          </w:p>
        </w:tc>
        <w:tc>
          <w:tcPr>
            <w:tcW w:w="1668" w:type="dxa"/>
            <w:gridSpan w:val="3"/>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44"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276"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45"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1.4%</w:t>
            </w:r>
          </w:p>
        </w:tc>
        <w:tc>
          <w:tcPr>
            <w:tcW w:w="1275" w:type="dxa"/>
            <w:tcBorders>
              <w:top w:val="single" w:sz="4" w:space="0" w:color="FFFFFF"/>
              <w:left w:val="single" w:sz="4" w:space="0" w:color="FFFFFF"/>
              <w:bottom w:val="single" w:sz="4" w:space="0" w:color="FFFFFF"/>
              <w:right w:val="nil"/>
            </w:tcBorders>
            <w:shd w:val="clear" w:color="auto" w:fill="C5DDC7"/>
            <w:noWrap/>
            <w:vAlign w:val="bottom"/>
            <w:hideMark/>
          </w:tcPr>
          <w:p w14:paraId="2EC6B546"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0.1%</w:t>
            </w:r>
          </w:p>
        </w:tc>
      </w:tr>
      <w:tr w:rsidR="0002159F" w:rsidRPr="0002159F" w14:paraId="2EC6B54F" w14:textId="77777777" w:rsidTr="0002159F">
        <w:trPr>
          <w:trHeight w:val="225"/>
        </w:trPr>
        <w:tc>
          <w:tcPr>
            <w:tcW w:w="3119" w:type="dxa"/>
            <w:gridSpan w:val="2"/>
            <w:tcBorders>
              <w:top w:val="single" w:sz="4" w:space="0" w:color="FFFFFF"/>
              <w:left w:val="nil"/>
              <w:bottom w:val="single" w:sz="4" w:space="0" w:color="FFFFFF"/>
              <w:right w:val="single" w:sz="4" w:space="0" w:color="FFFFFF"/>
            </w:tcBorders>
            <w:shd w:val="clear" w:color="auto" w:fill="E2EEE3"/>
            <w:noWrap/>
            <w:vAlign w:val="bottom"/>
            <w:hideMark/>
          </w:tcPr>
          <w:p w14:paraId="2EC6B548" w14:textId="77777777" w:rsidR="0002159F" w:rsidRPr="0002159F" w:rsidRDefault="0002159F" w:rsidP="00C225A0">
            <w:pPr>
              <w:spacing w:after="0" w:line="240" w:lineRule="auto"/>
              <w:rPr>
                <w:rFonts w:ascii="Tahoma" w:eastAsia="Times New Roman" w:hAnsi="Tahoma" w:cs="Tahoma"/>
                <w:sz w:val="16"/>
                <w:szCs w:val="16"/>
                <w:lang w:eastAsia="en-AU"/>
              </w:rPr>
            </w:pPr>
            <w:r w:rsidRPr="0002159F">
              <w:rPr>
                <w:rFonts w:ascii="Tahoma" w:eastAsia="Times New Roman" w:hAnsi="Tahoma" w:cs="Tahoma"/>
                <w:sz w:val="16"/>
                <w:szCs w:val="16"/>
                <w:lang w:eastAsia="en-AU"/>
              </w:rPr>
              <w:t xml:space="preserve">Employment </w:t>
            </w:r>
            <w:r w:rsidRPr="0002159F">
              <w:rPr>
                <w:rFonts w:ascii="Tahoma" w:eastAsia="Times New Roman" w:hAnsi="Tahoma" w:cs="Tahoma"/>
                <w:sz w:val="16"/>
                <w:szCs w:val="16"/>
                <w:vertAlign w:val="superscript"/>
                <w:lang w:eastAsia="en-AU"/>
              </w:rPr>
              <w:t>(b)</w:t>
            </w:r>
          </w:p>
        </w:tc>
        <w:tc>
          <w:tcPr>
            <w:tcW w:w="992" w:type="dxa"/>
            <w:gridSpan w:val="2"/>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49"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No.</w:t>
            </w:r>
          </w:p>
        </w:tc>
        <w:tc>
          <w:tcPr>
            <w:tcW w:w="993"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4A"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2011</w:t>
            </w:r>
          </w:p>
        </w:tc>
        <w:tc>
          <w:tcPr>
            <w:tcW w:w="1025"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4B"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490</w:t>
            </w:r>
          </w:p>
        </w:tc>
        <w:tc>
          <w:tcPr>
            <w:tcW w:w="1668" w:type="dxa"/>
            <w:gridSpan w:val="3"/>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4C"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-34.8%</w:t>
            </w:r>
          </w:p>
        </w:tc>
        <w:tc>
          <w:tcPr>
            <w:tcW w:w="1276"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4D"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0.2%</w:t>
            </w:r>
          </w:p>
        </w:tc>
        <w:tc>
          <w:tcPr>
            <w:tcW w:w="1275" w:type="dxa"/>
            <w:tcBorders>
              <w:top w:val="single" w:sz="4" w:space="0" w:color="FFFFFF"/>
              <w:left w:val="single" w:sz="4" w:space="0" w:color="FFFFFF"/>
              <w:bottom w:val="single" w:sz="4" w:space="0" w:color="FFFFFF"/>
              <w:right w:val="nil"/>
            </w:tcBorders>
            <w:shd w:val="clear" w:color="auto" w:fill="E2EEE3"/>
            <w:noWrap/>
            <w:vAlign w:val="bottom"/>
            <w:hideMark/>
          </w:tcPr>
          <w:p w14:paraId="2EC6B54E"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0.0%</w:t>
            </w:r>
          </w:p>
        </w:tc>
      </w:tr>
      <w:tr w:rsidR="0002159F" w:rsidRPr="0002159F" w14:paraId="2EC6B557" w14:textId="77777777" w:rsidTr="0002159F">
        <w:trPr>
          <w:trHeight w:val="225"/>
        </w:trPr>
        <w:tc>
          <w:tcPr>
            <w:tcW w:w="3119" w:type="dxa"/>
            <w:gridSpan w:val="2"/>
            <w:tcBorders>
              <w:top w:val="single" w:sz="4" w:space="0" w:color="FFFFFF"/>
              <w:left w:val="nil"/>
              <w:bottom w:val="single" w:sz="4" w:space="0" w:color="FFFFFF"/>
              <w:right w:val="single" w:sz="4" w:space="0" w:color="FFFFFF"/>
            </w:tcBorders>
            <w:shd w:val="clear" w:color="auto" w:fill="C5DDC7"/>
            <w:noWrap/>
            <w:vAlign w:val="bottom"/>
            <w:hideMark/>
          </w:tcPr>
          <w:p w14:paraId="2EC6B550" w14:textId="77777777" w:rsidR="0002159F" w:rsidRPr="0002159F" w:rsidRDefault="00C225A0" w:rsidP="00C225A0">
            <w:pPr>
              <w:spacing w:after="0" w:line="240" w:lineRule="auto"/>
              <w:rPr>
                <w:rFonts w:ascii="Tahoma" w:eastAsia="Times New Roman" w:hAnsi="Tahoma" w:cs="Tahoma"/>
                <w:sz w:val="16"/>
                <w:szCs w:val="16"/>
                <w:lang w:eastAsia="en-AU"/>
              </w:rPr>
            </w:pPr>
            <w:r>
              <w:rPr>
                <w:rFonts w:ascii="Tahoma" w:eastAsia="Times New Roman" w:hAnsi="Tahoma" w:cs="Tahoma"/>
                <w:sz w:val="16"/>
                <w:szCs w:val="16"/>
                <w:lang w:eastAsia="en-AU"/>
              </w:rPr>
              <w:t>International e</w:t>
            </w:r>
            <w:r w:rsidR="0002159F" w:rsidRPr="0002159F">
              <w:rPr>
                <w:rFonts w:ascii="Tahoma" w:eastAsia="Times New Roman" w:hAnsi="Tahoma" w:cs="Tahoma"/>
                <w:sz w:val="16"/>
                <w:szCs w:val="16"/>
                <w:lang w:eastAsia="en-AU"/>
              </w:rPr>
              <w:t>xports</w:t>
            </w:r>
            <w:r w:rsidR="0002159F" w:rsidRPr="0002159F">
              <w:rPr>
                <w:rFonts w:ascii="Tahoma" w:eastAsia="Times New Roman" w:hAnsi="Tahoma" w:cs="Tahoma"/>
                <w:sz w:val="16"/>
                <w:szCs w:val="16"/>
                <w:vertAlign w:val="superscript"/>
                <w:lang w:eastAsia="en-AU"/>
              </w:rPr>
              <w:t xml:space="preserve"> (c)</w:t>
            </w:r>
          </w:p>
        </w:tc>
        <w:tc>
          <w:tcPr>
            <w:tcW w:w="992" w:type="dxa"/>
            <w:gridSpan w:val="2"/>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51"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$M</w:t>
            </w:r>
          </w:p>
        </w:tc>
        <w:tc>
          <w:tcPr>
            <w:tcW w:w="993"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52"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025"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53"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668" w:type="dxa"/>
            <w:gridSpan w:val="3"/>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54"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276"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55"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275" w:type="dxa"/>
            <w:tcBorders>
              <w:top w:val="single" w:sz="4" w:space="0" w:color="FFFFFF"/>
              <w:left w:val="single" w:sz="4" w:space="0" w:color="FFFFFF"/>
              <w:bottom w:val="single" w:sz="4" w:space="0" w:color="FFFFFF"/>
              <w:right w:val="nil"/>
            </w:tcBorders>
            <w:shd w:val="clear" w:color="auto" w:fill="C5DDC7"/>
            <w:noWrap/>
            <w:vAlign w:val="bottom"/>
            <w:hideMark/>
          </w:tcPr>
          <w:p w14:paraId="2EC6B556"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r>
      <w:tr w:rsidR="0002159F" w:rsidRPr="0002159F" w14:paraId="2EC6B55F" w14:textId="77777777" w:rsidTr="0002159F">
        <w:trPr>
          <w:trHeight w:val="225"/>
        </w:trPr>
        <w:tc>
          <w:tcPr>
            <w:tcW w:w="3119" w:type="dxa"/>
            <w:gridSpan w:val="2"/>
            <w:tcBorders>
              <w:top w:val="single" w:sz="4" w:space="0" w:color="FFFFFF"/>
              <w:left w:val="nil"/>
              <w:bottom w:val="single" w:sz="4" w:space="0" w:color="FFFFFF"/>
              <w:right w:val="single" w:sz="4" w:space="0" w:color="FFFFFF"/>
            </w:tcBorders>
            <w:shd w:val="clear" w:color="auto" w:fill="E2EEE3"/>
            <w:noWrap/>
            <w:vAlign w:val="bottom"/>
            <w:hideMark/>
          </w:tcPr>
          <w:p w14:paraId="2EC6B558" w14:textId="77777777" w:rsidR="0002159F" w:rsidRPr="0002159F" w:rsidRDefault="00C225A0" w:rsidP="00C225A0">
            <w:pPr>
              <w:spacing w:after="0" w:line="240" w:lineRule="auto"/>
              <w:rPr>
                <w:rFonts w:ascii="Tahoma" w:eastAsia="Times New Roman" w:hAnsi="Tahoma" w:cs="Tahoma"/>
                <w:sz w:val="16"/>
                <w:szCs w:val="16"/>
                <w:lang w:eastAsia="en-AU"/>
              </w:rPr>
            </w:pPr>
            <w:r>
              <w:rPr>
                <w:rFonts w:ascii="Tahoma" w:eastAsia="Times New Roman" w:hAnsi="Tahoma" w:cs="Tahoma"/>
                <w:sz w:val="16"/>
                <w:szCs w:val="16"/>
                <w:lang w:eastAsia="en-AU"/>
              </w:rPr>
              <w:t>Incomes (a</w:t>
            </w:r>
            <w:r w:rsidR="0002159F" w:rsidRPr="0002159F">
              <w:rPr>
                <w:rFonts w:ascii="Tahoma" w:eastAsia="Times New Roman" w:hAnsi="Tahoma" w:cs="Tahoma"/>
                <w:sz w:val="16"/>
                <w:szCs w:val="16"/>
                <w:lang w:eastAsia="en-AU"/>
              </w:rPr>
              <w:t xml:space="preserve">verage weekly) </w:t>
            </w:r>
            <w:r w:rsidR="0002159F" w:rsidRPr="0002159F">
              <w:rPr>
                <w:rFonts w:ascii="Tahoma" w:eastAsia="Times New Roman" w:hAnsi="Tahoma" w:cs="Tahoma"/>
                <w:sz w:val="16"/>
                <w:szCs w:val="16"/>
                <w:vertAlign w:val="superscript"/>
                <w:lang w:eastAsia="en-AU"/>
              </w:rPr>
              <w:t>(d)</w:t>
            </w:r>
          </w:p>
        </w:tc>
        <w:tc>
          <w:tcPr>
            <w:tcW w:w="992" w:type="dxa"/>
            <w:gridSpan w:val="2"/>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59"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w:t>
            </w:r>
          </w:p>
        </w:tc>
        <w:tc>
          <w:tcPr>
            <w:tcW w:w="993"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5A"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2011</w:t>
            </w:r>
          </w:p>
        </w:tc>
        <w:tc>
          <w:tcPr>
            <w:tcW w:w="1025"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5B"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 xml:space="preserve">$1 </w:t>
            </w:r>
            <w:r w:rsidR="0002159F" w:rsidRPr="0002159F">
              <w:rPr>
                <w:rFonts w:ascii="Tahoma" w:eastAsia="Times New Roman" w:hAnsi="Tahoma" w:cs="Tahoma"/>
                <w:color w:val="000000"/>
                <w:sz w:val="16"/>
                <w:szCs w:val="16"/>
                <w:lang w:eastAsia="en-AU"/>
              </w:rPr>
              <w:t>635</w:t>
            </w:r>
          </w:p>
        </w:tc>
        <w:tc>
          <w:tcPr>
            <w:tcW w:w="1668" w:type="dxa"/>
            <w:gridSpan w:val="3"/>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5C"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21.2%</w:t>
            </w:r>
          </w:p>
        </w:tc>
        <w:tc>
          <w:tcPr>
            <w:tcW w:w="1276" w:type="dxa"/>
            <w:tcBorders>
              <w:top w:val="single" w:sz="4" w:space="0" w:color="FFFFFF"/>
              <w:left w:val="single" w:sz="4" w:space="0" w:color="FFFFFF"/>
              <w:bottom w:val="single" w:sz="4" w:space="0" w:color="FFFFFF"/>
              <w:right w:val="single" w:sz="4" w:space="0" w:color="FFFFFF"/>
            </w:tcBorders>
            <w:shd w:val="clear" w:color="auto" w:fill="E2EEE3"/>
            <w:noWrap/>
            <w:vAlign w:val="bottom"/>
            <w:hideMark/>
          </w:tcPr>
          <w:p w14:paraId="2EC6B55D"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185.3%</w:t>
            </w:r>
          </w:p>
        </w:tc>
        <w:tc>
          <w:tcPr>
            <w:tcW w:w="1275" w:type="dxa"/>
            <w:tcBorders>
              <w:top w:val="single" w:sz="4" w:space="0" w:color="FFFFFF"/>
              <w:left w:val="single" w:sz="4" w:space="0" w:color="FFFFFF"/>
              <w:bottom w:val="single" w:sz="4" w:space="0" w:color="FFFFFF"/>
              <w:right w:val="nil"/>
            </w:tcBorders>
            <w:shd w:val="clear" w:color="auto" w:fill="E2EEE3"/>
            <w:noWrap/>
            <w:vAlign w:val="bottom"/>
            <w:hideMark/>
          </w:tcPr>
          <w:p w14:paraId="2EC6B55E"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175.6%</w:t>
            </w:r>
          </w:p>
        </w:tc>
      </w:tr>
      <w:tr w:rsidR="0002159F" w:rsidRPr="0002159F" w14:paraId="2EC6B567" w14:textId="77777777" w:rsidTr="0002159F">
        <w:trPr>
          <w:trHeight w:val="225"/>
        </w:trPr>
        <w:tc>
          <w:tcPr>
            <w:tcW w:w="3119" w:type="dxa"/>
            <w:gridSpan w:val="2"/>
            <w:tcBorders>
              <w:top w:val="single" w:sz="4" w:space="0" w:color="FFFFFF"/>
              <w:left w:val="nil"/>
              <w:bottom w:val="single" w:sz="4" w:space="0" w:color="FFFFFF"/>
              <w:right w:val="single" w:sz="4" w:space="0" w:color="FFFFFF"/>
            </w:tcBorders>
            <w:shd w:val="clear" w:color="auto" w:fill="C5DDC7"/>
            <w:noWrap/>
            <w:vAlign w:val="bottom"/>
            <w:hideMark/>
          </w:tcPr>
          <w:p w14:paraId="2EC6B560" w14:textId="77777777" w:rsidR="0002159F" w:rsidRPr="0002159F" w:rsidRDefault="0002159F" w:rsidP="00C225A0">
            <w:pPr>
              <w:spacing w:after="0" w:line="240" w:lineRule="auto"/>
              <w:rPr>
                <w:rFonts w:ascii="Tahoma" w:eastAsia="Times New Roman" w:hAnsi="Tahoma" w:cs="Tahoma"/>
                <w:sz w:val="16"/>
                <w:szCs w:val="16"/>
                <w:lang w:eastAsia="en-AU"/>
              </w:rPr>
            </w:pPr>
            <w:r w:rsidRPr="0002159F">
              <w:rPr>
                <w:rFonts w:ascii="Tahoma" w:eastAsia="Times New Roman" w:hAnsi="Tahoma" w:cs="Tahoma"/>
                <w:sz w:val="16"/>
                <w:szCs w:val="16"/>
                <w:lang w:eastAsia="en-AU"/>
              </w:rPr>
              <w:t>Education</w:t>
            </w:r>
            <w:r w:rsidRPr="0002159F">
              <w:rPr>
                <w:rFonts w:ascii="Tahoma" w:eastAsia="Times New Roman" w:hAnsi="Tahoma" w:cs="Tahoma"/>
                <w:sz w:val="16"/>
                <w:szCs w:val="16"/>
                <w:vertAlign w:val="superscript"/>
                <w:lang w:eastAsia="en-AU"/>
              </w:rPr>
              <w:t xml:space="preserve"> (e)</w:t>
            </w:r>
          </w:p>
        </w:tc>
        <w:tc>
          <w:tcPr>
            <w:tcW w:w="992" w:type="dxa"/>
            <w:gridSpan w:val="2"/>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61"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No.</w:t>
            </w:r>
          </w:p>
        </w:tc>
        <w:tc>
          <w:tcPr>
            <w:tcW w:w="993"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62"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2011</w:t>
            </w:r>
          </w:p>
        </w:tc>
        <w:tc>
          <w:tcPr>
            <w:tcW w:w="1025"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63"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332</w:t>
            </w:r>
          </w:p>
        </w:tc>
        <w:tc>
          <w:tcPr>
            <w:tcW w:w="1668" w:type="dxa"/>
            <w:gridSpan w:val="3"/>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64"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276" w:type="dxa"/>
            <w:tcBorders>
              <w:top w:val="single" w:sz="4" w:space="0" w:color="FFFFFF"/>
              <w:left w:val="single" w:sz="4" w:space="0" w:color="FFFFFF"/>
              <w:bottom w:val="single" w:sz="4" w:space="0" w:color="FFFFFF"/>
              <w:right w:val="single" w:sz="4" w:space="0" w:color="FFFFFF"/>
            </w:tcBorders>
            <w:shd w:val="clear" w:color="auto" w:fill="C5DDC7"/>
            <w:noWrap/>
            <w:vAlign w:val="bottom"/>
            <w:hideMark/>
          </w:tcPr>
          <w:p w14:paraId="2EC6B565"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67.8%</w:t>
            </w:r>
          </w:p>
        </w:tc>
        <w:tc>
          <w:tcPr>
            <w:tcW w:w="1275" w:type="dxa"/>
            <w:tcBorders>
              <w:top w:val="single" w:sz="4" w:space="0" w:color="FFFFFF"/>
              <w:left w:val="single" w:sz="4" w:space="0" w:color="FFFFFF"/>
              <w:bottom w:val="single" w:sz="4" w:space="0" w:color="FFFFFF"/>
              <w:right w:val="nil"/>
            </w:tcBorders>
            <w:shd w:val="clear" w:color="auto" w:fill="C5DDC7"/>
            <w:noWrap/>
            <w:vAlign w:val="bottom"/>
            <w:hideMark/>
          </w:tcPr>
          <w:p w14:paraId="2EC6B566"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68.1%</w:t>
            </w:r>
          </w:p>
        </w:tc>
      </w:tr>
      <w:tr w:rsidR="0002159F" w:rsidRPr="0002159F" w14:paraId="2EC6B56F" w14:textId="77777777" w:rsidTr="0002159F">
        <w:trPr>
          <w:trHeight w:val="225"/>
        </w:trPr>
        <w:tc>
          <w:tcPr>
            <w:tcW w:w="3119" w:type="dxa"/>
            <w:gridSpan w:val="2"/>
            <w:tcBorders>
              <w:top w:val="single" w:sz="4" w:space="0" w:color="FFFFFF"/>
              <w:left w:val="nil"/>
              <w:bottom w:val="nil"/>
              <w:right w:val="single" w:sz="4" w:space="0" w:color="FFFFFF"/>
            </w:tcBorders>
            <w:shd w:val="clear" w:color="auto" w:fill="E2EEE3"/>
            <w:noWrap/>
            <w:vAlign w:val="bottom"/>
            <w:hideMark/>
          </w:tcPr>
          <w:p w14:paraId="2EC6B568" w14:textId="77777777" w:rsidR="0002159F" w:rsidRPr="0002159F" w:rsidRDefault="0002159F" w:rsidP="00C225A0">
            <w:pPr>
              <w:spacing w:after="0" w:line="240" w:lineRule="auto"/>
              <w:rPr>
                <w:rFonts w:ascii="Tahoma" w:eastAsia="Times New Roman" w:hAnsi="Tahoma" w:cs="Tahoma"/>
                <w:sz w:val="16"/>
                <w:szCs w:val="16"/>
                <w:lang w:eastAsia="en-AU"/>
              </w:rPr>
            </w:pPr>
            <w:r w:rsidRPr="0002159F">
              <w:rPr>
                <w:rFonts w:ascii="Tahoma" w:eastAsia="Times New Roman" w:hAnsi="Tahoma" w:cs="Tahoma"/>
                <w:sz w:val="16"/>
                <w:szCs w:val="16"/>
                <w:lang w:eastAsia="en-AU"/>
              </w:rPr>
              <w:t xml:space="preserve">Employment (proportion full/part) </w:t>
            </w:r>
            <w:r w:rsidRPr="0002159F">
              <w:rPr>
                <w:rFonts w:ascii="Tahoma" w:eastAsia="Times New Roman" w:hAnsi="Tahoma" w:cs="Tahoma"/>
                <w:sz w:val="16"/>
                <w:szCs w:val="16"/>
                <w:vertAlign w:val="superscript"/>
                <w:lang w:eastAsia="en-AU"/>
              </w:rPr>
              <w:t xml:space="preserve"> (f)</w:t>
            </w:r>
          </w:p>
        </w:tc>
        <w:tc>
          <w:tcPr>
            <w:tcW w:w="992" w:type="dxa"/>
            <w:gridSpan w:val="2"/>
            <w:tcBorders>
              <w:top w:val="single" w:sz="4" w:space="0" w:color="FFFFFF"/>
              <w:left w:val="single" w:sz="4" w:space="0" w:color="FFFFFF"/>
              <w:bottom w:val="nil"/>
              <w:right w:val="single" w:sz="4" w:space="0" w:color="FFFFFF"/>
            </w:tcBorders>
            <w:shd w:val="clear" w:color="auto" w:fill="E2EEE3"/>
            <w:noWrap/>
            <w:vAlign w:val="bottom"/>
            <w:hideMark/>
          </w:tcPr>
          <w:p w14:paraId="2EC6B569"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Type</w:t>
            </w:r>
          </w:p>
        </w:tc>
        <w:tc>
          <w:tcPr>
            <w:tcW w:w="993" w:type="dxa"/>
            <w:tcBorders>
              <w:top w:val="single" w:sz="4" w:space="0" w:color="FFFFFF"/>
              <w:left w:val="single" w:sz="4" w:space="0" w:color="FFFFFF"/>
              <w:bottom w:val="nil"/>
              <w:right w:val="single" w:sz="4" w:space="0" w:color="FFFFFF"/>
            </w:tcBorders>
            <w:shd w:val="clear" w:color="auto" w:fill="E2EEE3"/>
            <w:noWrap/>
            <w:vAlign w:val="bottom"/>
            <w:hideMark/>
          </w:tcPr>
          <w:p w14:paraId="2EC6B56A"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2011</w:t>
            </w:r>
          </w:p>
        </w:tc>
        <w:tc>
          <w:tcPr>
            <w:tcW w:w="1025" w:type="dxa"/>
            <w:tcBorders>
              <w:top w:val="single" w:sz="4" w:space="0" w:color="FFFFFF"/>
              <w:left w:val="single" w:sz="4" w:space="0" w:color="FFFFFF"/>
              <w:bottom w:val="nil"/>
              <w:right w:val="single" w:sz="4" w:space="0" w:color="FFFFFF"/>
            </w:tcBorders>
            <w:shd w:val="clear" w:color="auto" w:fill="E2EEE3"/>
            <w:noWrap/>
            <w:vAlign w:val="bottom"/>
            <w:hideMark/>
          </w:tcPr>
          <w:p w14:paraId="2EC6B56B"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Full-t</w:t>
            </w:r>
            <w:r w:rsidR="0002159F" w:rsidRPr="0002159F">
              <w:rPr>
                <w:rFonts w:ascii="Tahoma" w:eastAsia="Times New Roman" w:hAnsi="Tahoma" w:cs="Tahoma"/>
                <w:color w:val="000000"/>
                <w:sz w:val="16"/>
                <w:szCs w:val="16"/>
                <w:lang w:eastAsia="en-AU"/>
              </w:rPr>
              <w:t>ime</w:t>
            </w:r>
          </w:p>
        </w:tc>
        <w:tc>
          <w:tcPr>
            <w:tcW w:w="1668" w:type="dxa"/>
            <w:gridSpan w:val="3"/>
            <w:tcBorders>
              <w:top w:val="single" w:sz="4" w:space="0" w:color="FFFFFF"/>
              <w:left w:val="single" w:sz="4" w:space="0" w:color="FFFFFF"/>
              <w:bottom w:val="nil"/>
              <w:right w:val="single" w:sz="4" w:space="0" w:color="FFFFFF"/>
            </w:tcBorders>
            <w:shd w:val="clear" w:color="auto" w:fill="E2EEE3"/>
            <w:noWrap/>
            <w:vAlign w:val="bottom"/>
            <w:hideMark/>
          </w:tcPr>
          <w:p w14:paraId="2EC6B56C" w14:textId="77777777" w:rsidR="0002159F" w:rsidRPr="0002159F" w:rsidRDefault="00C225A0" w:rsidP="00C225A0">
            <w:pPr>
              <w:spacing w:after="0" w:line="240" w:lineRule="auto"/>
              <w:rPr>
                <w:rFonts w:ascii="Tahoma" w:eastAsia="Times New Roman" w:hAnsi="Tahoma" w:cs="Tahoma"/>
                <w:color w:val="000000"/>
                <w:sz w:val="16"/>
                <w:szCs w:val="16"/>
                <w:lang w:eastAsia="en-AU"/>
              </w:rPr>
            </w:pPr>
            <w:r>
              <w:rPr>
                <w:rFonts w:ascii="Tahoma" w:eastAsia="Times New Roman" w:hAnsi="Tahoma" w:cs="Tahoma"/>
                <w:color w:val="000000"/>
                <w:sz w:val="16"/>
                <w:szCs w:val="16"/>
                <w:lang w:eastAsia="en-AU"/>
              </w:rPr>
              <w:t>NA</w:t>
            </w:r>
          </w:p>
        </w:tc>
        <w:tc>
          <w:tcPr>
            <w:tcW w:w="1276" w:type="dxa"/>
            <w:tcBorders>
              <w:top w:val="single" w:sz="4" w:space="0" w:color="FFFFFF"/>
              <w:left w:val="single" w:sz="4" w:space="0" w:color="FFFFFF"/>
              <w:bottom w:val="nil"/>
              <w:right w:val="single" w:sz="4" w:space="0" w:color="FFFFFF"/>
            </w:tcBorders>
            <w:shd w:val="clear" w:color="auto" w:fill="E2EEE3"/>
            <w:noWrap/>
            <w:vAlign w:val="bottom"/>
            <w:hideMark/>
          </w:tcPr>
          <w:p w14:paraId="2EC6B56D"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87.5%</w:t>
            </w:r>
          </w:p>
        </w:tc>
        <w:tc>
          <w:tcPr>
            <w:tcW w:w="1275" w:type="dxa"/>
            <w:tcBorders>
              <w:top w:val="single" w:sz="4" w:space="0" w:color="FFFFFF"/>
              <w:left w:val="single" w:sz="4" w:space="0" w:color="FFFFFF"/>
              <w:bottom w:val="nil"/>
              <w:right w:val="nil"/>
            </w:tcBorders>
            <w:shd w:val="clear" w:color="auto" w:fill="E2EEE3"/>
            <w:noWrap/>
            <w:vAlign w:val="bottom"/>
            <w:hideMark/>
          </w:tcPr>
          <w:p w14:paraId="2EC6B56E"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r w:rsidRPr="0002159F">
              <w:rPr>
                <w:rFonts w:ascii="Tahoma" w:eastAsia="Times New Roman" w:hAnsi="Tahoma" w:cs="Tahoma"/>
                <w:color w:val="000000"/>
                <w:sz w:val="16"/>
                <w:szCs w:val="16"/>
                <w:lang w:eastAsia="en-AU"/>
              </w:rPr>
              <w:t>89.2%</w:t>
            </w:r>
          </w:p>
        </w:tc>
      </w:tr>
      <w:tr w:rsidR="0002159F" w:rsidRPr="0002159F" w14:paraId="2EC6B576" w14:textId="77777777" w:rsidTr="00D360A3">
        <w:trPr>
          <w:trHeight w:val="210"/>
        </w:trPr>
        <w:tc>
          <w:tcPr>
            <w:tcW w:w="4111" w:type="dxa"/>
            <w:gridSpan w:val="4"/>
            <w:tcBorders>
              <w:top w:val="nil"/>
              <w:left w:val="nil"/>
              <w:bottom w:val="nil"/>
              <w:right w:val="nil"/>
            </w:tcBorders>
            <w:shd w:val="clear" w:color="auto" w:fill="auto"/>
            <w:noWrap/>
            <w:vAlign w:val="bottom"/>
          </w:tcPr>
          <w:p w14:paraId="2EC6B570" w14:textId="77777777" w:rsidR="0002159F" w:rsidRPr="0002159F" w:rsidRDefault="0002159F" w:rsidP="00C225A0">
            <w:pPr>
              <w:spacing w:after="0" w:line="240" w:lineRule="auto"/>
              <w:rPr>
                <w:rFonts w:ascii="Tahoma" w:eastAsia="Times New Roman" w:hAnsi="Tahoma" w:cs="Tahoma"/>
                <w:color w:val="000000"/>
                <w:sz w:val="14"/>
                <w:szCs w:val="14"/>
                <w:lang w:eastAsia="en-AU"/>
              </w:rPr>
            </w:pPr>
          </w:p>
        </w:tc>
        <w:tc>
          <w:tcPr>
            <w:tcW w:w="993" w:type="dxa"/>
            <w:tcBorders>
              <w:top w:val="nil"/>
              <w:left w:val="nil"/>
              <w:bottom w:val="nil"/>
              <w:right w:val="nil"/>
            </w:tcBorders>
            <w:shd w:val="clear" w:color="auto" w:fill="auto"/>
            <w:noWrap/>
            <w:vAlign w:val="bottom"/>
          </w:tcPr>
          <w:p w14:paraId="2EC6B571"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p>
        </w:tc>
        <w:tc>
          <w:tcPr>
            <w:tcW w:w="1025" w:type="dxa"/>
            <w:tcBorders>
              <w:top w:val="nil"/>
              <w:left w:val="nil"/>
              <w:bottom w:val="nil"/>
              <w:right w:val="nil"/>
            </w:tcBorders>
            <w:shd w:val="clear" w:color="auto" w:fill="auto"/>
            <w:noWrap/>
            <w:vAlign w:val="bottom"/>
          </w:tcPr>
          <w:p w14:paraId="2EC6B572"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p>
        </w:tc>
        <w:tc>
          <w:tcPr>
            <w:tcW w:w="1668" w:type="dxa"/>
            <w:gridSpan w:val="3"/>
            <w:tcBorders>
              <w:top w:val="nil"/>
              <w:left w:val="nil"/>
              <w:bottom w:val="nil"/>
              <w:right w:val="nil"/>
            </w:tcBorders>
            <w:shd w:val="clear" w:color="auto" w:fill="auto"/>
            <w:noWrap/>
            <w:vAlign w:val="bottom"/>
          </w:tcPr>
          <w:p w14:paraId="2EC6B573"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p>
        </w:tc>
        <w:tc>
          <w:tcPr>
            <w:tcW w:w="1276" w:type="dxa"/>
            <w:tcBorders>
              <w:top w:val="nil"/>
              <w:left w:val="nil"/>
              <w:bottom w:val="nil"/>
              <w:right w:val="nil"/>
            </w:tcBorders>
            <w:shd w:val="clear" w:color="auto" w:fill="auto"/>
            <w:noWrap/>
            <w:vAlign w:val="bottom"/>
          </w:tcPr>
          <w:p w14:paraId="2EC6B574"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p>
        </w:tc>
        <w:tc>
          <w:tcPr>
            <w:tcW w:w="1275" w:type="dxa"/>
            <w:tcBorders>
              <w:top w:val="nil"/>
              <w:left w:val="nil"/>
              <w:bottom w:val="nil"/>
              <w:right w:val="nil"/>
            </w:tcBorders>
            <w:shd w:val="clear" w:color="auto" w:fill="auto"/>
            <w:noWrap/>
            <w:vAlign w:val="bottom"/>
            <w:hideMark/>
          </w:tcPr>
          <w:p w14:paraId="2EC6B575" w14:textId="77777777" w:rsidR="0002159F" w:rsidRPr="0002159F" w:rsidRDefault="0002159F" w:rsidP="00C225A0">
            <w:pPr>
              <w:spacing w:after="0" w:line="240" w:lineRule="auto"/>
              <w:rPr>
                <w:rFonts w:ascii="Tahoma" w:eastAsia="Times New Roman" w:hAnsi="Tahoma" w:cs="Tahoma"/>
                <w:color w:val="000000"/>
                <w:sz w:val="16"/>
                <w:szCs w:val="16"/>
                <w:lang w:eastAsia="en-AU"/>
              </w:rPr>
            </w:pPr>
          </w:p>
        </w:tc>
      </w:tr>
    </w:tbl>
    <w:p w14:paraId="2EC6B577" w14:textId="1397D392"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 xml:space="preserve">Sources: Australian Bureau of Statistics (2012, 2013), Department of Economic Development, Tourism and the Arts (2013), </w:t>
      </w:r>
      <w:r w:rsidR="0013310F">
        <w:rPr>
          <w:rFonts w:ascii="Gill Sans MT" w:eastAsia="Times New Roman" w:hAnsi="Gill Sans MT" w:cs="Tahoma"/>
          <w:sz w:val="16"/>
          <w:szCs w:val="16"/>
          <w:lang w:eastAsia="en-AU"/>
        </w:rPr>
        <w:t xml:space="preserve">Department of State Growth (2014), </w:t>
      </w:r>
      <w:r w:rsidRPr="0031621C">
        <w:rPr>
          <w:rFonts w:ascii="Gill Sans MT" w:eastAsia="Times New Roman" w:hAnsi="Gill Sans MT" w:cs="Tahoma"/>
          <w:sz w:val="16"/>
          <w:szCs w:val="16"/>
          <w:lang w:eastAsia="en-AU"/>
        </w:rPr>
        <w:t>AEC</w:t>
      </w:r>
      <w:r w:rsidR="0013310F">
        <w:rPr>
          <w:rFonts w:ascii="Gill Sans MT" w:eastAsia="Times New Roman" w:hAnsi="Gill Sans MT" w:cs="Tahoma"/>
          <w:sz w:val="16"/>
          <w:szCs w:val="16"/>
          <w:lang w:eastAsia="en-AU"/>
        </w:rPr>
        <w:t xml:space="preserve"> G</w:t>
      </w:r>
      <w:r w:rsidRPr="0031621C">
        <w:rPr>
          <w:rFonts w:ascii="Gill Sans MT" w:eastAsia="Times New Roman" w:hAnsi="Gill Sans MT" w:cs="Tahoma"/>
          <w:sz w:val="16"/>
          <w:szCs w:val="16"/>
          <w:lang w:eastAsia="en-AU"/>
        </w:rPr>
        <w:t>roup</w:t>
      </w:r>
    </w:p>
    <w:p w14:paraId="2EC6B578" w14:textId="0116AC70"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(a) Source AEC</w:t>
      </w:r>
      <w:r w:rsidR="0013310F">
        <w:rPr>
          <w:rFonts w:ascii="Gill Sans MT" w:eastAsia="Times New Roman" w:hAnsi="Gill Sans MT" w:cs="Tahoma"/>
          <w:sz w:val="16"/>
          <w:szCs w:val="16"/>
          <w:lang w:eastAsia="en-AU"/>
        </w:rPr>
        <w:t xml:space="preserve"> G</w:t>
      </w:r>
      <w:r w:rsidRPr="0031621C">
        <w:rPr>
          <w:rFonts w:ascii="Gill Sans MT" w:eastAsia="Times New Roman" w:hAnsi="Gill Sans MT" w:cs="Tahoma"/>
          <w:sz w:val="16"/>
          <w:szCs w:val="16"/>
          <w:lang w:eastAsia="en-AU"/>
        </w:rPr>
        <w:t>roup. Industry value add (IVA) is a component of the ABS estimate of Gross State Product and measures the total value of goods and services produced by the sector less the value of inputs.  Estimated change in IVA from five years ago for a sector is heavily influenced by change at the highest ‘ANZSIC Division 1’ level of industry aggregation and is not reported.</w:t>
      </w:r>
    </w:p>
    <w:p w14:paraId="2EC6B579" w14:textId="429C4BD9"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 xml:space="preserve">(b) </w:t>
      </w:r>
      <w:r w:rsidRPr="0031621C">
        <w:rPr>
          <w:rFonts w:ascii="Gill Sans MT" w:eastAsia="Times New Roman" w:hAnsi="Gill Sans MT" w:cs="Tahoma"/>
          <w:i/>
          <w:sz w:val="16"/>
          <w:szCs w:val="16"/>
          <w:lang w:eastAsia="en-AU"/>
        </w:rPr>
        <w:t>2011 ABS Census</w:t>
      </w:r>
      <w:r w:rsidRPr="0031621C">
        <w:rPr>
          <w:rFonts w:ascii="Gill Sans MT" w:eastAsia="Times New Roman" w:hAnsi="Gill Sans MT" w:cs="Tahoma"/>
          <w:sz w:val="16"/>
          <w:szCs w:val="16"/>
          <w:lang w:eastAsia="en-AU"/>
        </w:rPr>
        <w:t>. AEC</w:t>
      </w:r>
      <w:r w:rsidR="0013310F">
        <w:rPr>
          <w:rFonts w:ascii="Gill Sans MT" w:eastAsia="Times New Roman" w:hAnsi="Gill Sans MT" w:cs="Tahoma"/>
          <w:sz w:val="16"/>
          <w:szCs w:val="16"/>
          <w:lang w:eastAsia="en-AU"/>
        </w:rPr>
        <w:t xml:space="preserve"> G</w:t>
      </w:r>
      <w:r w:rsidRPr="0031621C">
        <w:rPr>
          <w:rFonts w:ascii="Gill Sans MT" w:eastAsia="Times New Roman" w:hAnsi="Gill Sans MT" w:cs="Tahoma"/>
          <w:sz w:val="16"/>
          <w:szCs w:val="16"/>
          <w:lang w:eastAsia="en-AU"/>
        </w:rPr>
        <w:t>roup considers this the most accurate estimat</w:t>
      </w:r>
      <w:r w:rsidR="0086322E" w:rsidRPr="0031621C">
        <w:rPr>
          <w:rFonts w:ascii="Gill Sans MT" w:eastAsia="Times New Roman" w:hAnsi="Gill Sans MT" w:cs="Tahoma"/>
          <w:sz w:val="16"/>
          <w:szCs w:val="16"/>
          <w:lang w:eastAsia="en-AU"/>
        </w:rPr>
        <w:t>e of employment at the detailed four</w:t>
      </w:r>
      <w:r w:rsidRPr="0031621C">
        <w:rPr>
          <w:rFonts w:ascii="Gill Sans MT" w:eastAsia="Times New Roman" w:hAnsi="Gill Sans MT" w:cs="Tahoma"/>
          <w:sz w:val="16"/>
          <w:szCs w:val="16"/>
          <w:lang w:eastAsia="en-AU"/>
        </w:rPr>
        <w:t xml:space="preserve"> digit ANZSIC level.</w:t>
      </w:r>
    </w:p>
    <w:p w14:paraId="2EC6B57A" w14:textId="5DE1E7AD"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 xml:space="preserve">(c) </w:t>
      </w:r>
      <w:r w:rsidR="0013310F">
        <w:rPr>
          <w:rFonts w:ascii="Gill Sans MT" w:eastAsia="Times New Roman" w:hAnsi="Gill Sans MT" w:cs="Tahoma"/>
          <w:sz w:val="16"/>
          <w:szCs w:val="16"/>
          <w:lang w:eastAsia="en-AU"/>
        </w:rPr>
        <w:t>E</w:t>
      </w:r>
      <w:r w:rsidRPr="0031621C">
        <w:rPr>
          <w:rFonts w:ascii="Gill Sans MT" w:eastAsia="Times New Roman" w:hAnsi="Gill Sans MT" w:cs="Tahoma"/>
          <w:sz w:val="16"/>
          <w:szCs w:val="16"/>
          <w:lang w:eastAsia="en-AU"/>
        </w:rPr>
        <w:t>stimates of international exports using ABS data.</w:t>
      </w:r>
    </w:p>
    <w:p w14:paraId="2EC6B57B" w14:textId="3104D29B"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(d)</w:t>
      </w:r>
      <w:r w:rsidR="00BF4D43" w:rsidRPr="00BF4D43">
        <w:t xml:space="preserve"> </w:t>
      </w:r>
      <w:r w:rsidR="00BF4D43" w:rsidRPr="00771794">
        <w:rPr>
          <w:rFonts w:ascii="Gill Sans MT" w:eastAsia="Times New Roman" w:hAnsi="Gill Sans MT" w:cs="Tahoma"/>
          <w:i/>
          <w:sz w:val="16"/>
          <w:szCs w:val="16"/>
          <w:lang w:eastAsia="en-AU"/>
        </w:rPr>
        <w:t>2011 ABS Census.</w:t>
      </w:r>
      <w:r w:rsidR="00BF4D43" w:rsidRPr="00BF4D43">
        <w:rPr>
          <w:rFonts w:ascii="Gill Sans MT" w:eastAsia="Times New Roman" w:hAnsi="Gill Sans MT" w:cs="Tahoma"/>
          <w:sz w:val="16"/>
          <w:szCs w:val="16"/>
          <w:lang w:eastAsia="en-AU"/>
        </w:rPr>
        <w:t xml:space="preserve"> This includes employment and non-employment related income (e.g. rents, dividends, interest, child support and government pensions and allowances). A percentage above 100 per cent of average weekly income suggests workers in this industry earn higher than the average wage.</w:t>
      </w:r>
      <w:r w:rsidRPr="0031621C">
        <w:rPr>
          <w:rFonts w:ascii="Gill Sans MT" w:eastAsia="Times New Roman" w:hAnsi="Gill Sans MT" w:cs="Tahoma"/>
          <w:sz w:val="16"/>
          <w:szCs w:val="16"/>
          <w:lang w:eastAsia="en-AU"/>
        </w:rPr>
        <w:t xml:space="preserve">  </w:t>
      </w:r>
    </w:p>
    <w:p w14:paraId="2EC6B57C" w14:textId="1CB6AD58" w:rsidR="00D360A3" w:rsidRPr="0031621C" w:rsidRDefault="00D360A3"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 xml:space="preserve">(e) </w:t>
      </w:r>
      <w:r w:rsidRPr="0031621C">
        <w:rPr>
          <w:rFonts w:ascii="Gill Sans MT" w:eastAsia="Times New Roman" w:hAnsi="Gill Sans MT" w:cs="Tahoma"/>
          <w:i/>
          <w:sz w:val="16"/>
          <w:szCs w:val="16"/>
          <w:lang w:eastAsia="en-AU"/>
        </w:rPr>
        <w:t>2011 ABS Census</w:t>
      </w:r>
      <w:r w:rsidR="0086322E" w:rsidRPr="0031621C">
        <w:rPr>
          <w:rFonts w:ascii="Gill Sans MT" w:eastAsia="Times New Roman" w:hAnsi="Gill Sans MT" w:cs="Tahoma"/>
          <w:sz w:val="16"/>
          <w:szCs w:val="16"/>
          <w:lang w:eastAsia="en-AU"/>
        </w:rPr>
        <w:t xml:space="preserve">. </w:t>
      </w:r>
      <w:r w:rsidRPr="0031621C">
        <w:rPr>
          <w:rFonts w:ascii="Gill Sans MT" w:eastAsia="Times New Roman" w:hAnsi="Gill Sans MT" w:cs="Tahoma"/>
          <w:sz w:val="16"/>
          <w:szCs w:val="16"/>
          <w:lang w:eastAsia="en-AU"/>
        </w:rPr>
        <w:t xml:space="preserve">Education measured by the number of employees who have completed Year 12 (or equivalent studies). Percent of Tasmania/Australia shows the proportion of workers in this sector who have attained this level of education. </w:t>
      </w:r>
    </w:p>
    <w:p w14:paraId="2EC6B57D" w14:textId="77777777" w:rsidR="00D360A3" w:rsidRPr="0031621C" w:rsidRDefault="0086322E" w:rsidP="00D360A3">
      <w:pPr>
        <w:spacing w:after="0" w:line="240" w:lineRule="auto"/>
        <w:ind w:left="-567"/>
        <w:rPr>
          <w:rFonts w:ascii="Gill Sans MT" w:eastAsia="Times New Roman" w:hAnsi="Gill Sans MT" w:cs="Tahoma"/>
          <w:sz w:val="16"/>
          <w:szCs w:val="16"/>
          <w:lang w:eastAsia="en-AU"/>
        </w:rPr>
      </w:pPr>
      <w:r w:rsidRPr="0031621C">
        <w:rPr>
          <w:rFonts w:ascii="Gill Sans MT" w:eastAsia="Times New Roman" w:hAnsi="Gill Sans MT" w:cs="Tahoma"/>
          <w:sz w:val="16"/>
          <w:szCs w:val="16"/>
          <w:lang w:eastAsia="en-AU"/>
        </w:rPr>
        <w:t xml:space="preserve">(f) </w:t>
      </w:r>
      <w:r w:rsidR="00D360A3" w:rsidRPr="0031621C">
        <w:rPr>
          <w:rFonts w:ascii="Gill Sans MT" w:eastAsia="Times New Roman" w:hAnsi="Gill Sans MT" w:cs="Tahoma"/>
          <w:i/>
          <w:sz w:val="16"/>
          <w:szCs w:val="16"/>
          <w:lang w:eastAsia="en-AU"/>
        </w:rPr>
        <w:t>2011 ABS Census</w:t>
      </w:r>
      <w:r w:rsidRPr="0031621C">
        <w:rPr>
          <w:rFonts w:ascii="Gill Sans MT" w:eastAsia="Times New Roman" w:hAnsi="Gill Sans MT" w:cs="Tahoma"/>
          <w:sz w:val="16"/>
          <w:szCs w:val="16"/>
          <w:lang w:eastAsia="en-AU"/>
        </w:rPr>
        <w:t xml:space="preserve">. </w:t>
      </w:r>
      <w:r w:rsidR="00D360A3" w:rsidRPr="0031621C">
        <w:rPr>
          <w:rFonts w:ascii="Gill Sans MT" w:eastAsia="Times New Roman" w:hAnsi="Gill Sans MT" w:cs="Tahoma"/>
          <w:sz w:val="16"/>
          <w:szCs w:val="16"/>
          <w:lang w:eastAsia="en-AU"/>
        </w:rPr>
        <w:t xml:space="preserve">Percent of Tasmania/Australia shows the proportion of workers employed in this manner. </w:t>
      </w:r>
    </w:p>
    <w:p w14:paraId="2EC6B57E" w14:textId="77777777" w:rsidR="0002159F" w:rsidRDefault="0002159F" w:rsidP="00C225A0">
      <w:pPr>
        <w:pStyle w:val="Sectorbody"/>
        <w:ind w:left="-709"/>
        <w:jc w:val="left"/>
        <w:sectPr w:rsidR="0002159F" w:rsidSect="00B27DE1">
          <w:headerReference w:type="default" r:id="rId13"/>
          <w:pgSz w:w="11906" w:h="16838"/>
          <w:pgMar w:top="3661" w:right="707" w:bottom="567" w:left="1440" w:header="708" w:footer="708" w:gutter="0"/>
          <w:cols w:space="708"/>
          <w:docGrid w:linePitch="360"/>
        </w:sectPr>
      </w:pPr>
    </w:p>
    <w:p w14:paraId="2EC6B57F" w14:textId="6438C406" w:rsidR="00B83CEC" w:rsidRPr="00B83CEC" w:rsidRDefault="00B83CEC" w:rsidP="00C225A0">
      <w:pPr>
        <w:pStyle w:val="Sectorbody"/>
        <w:jc w:val="left"/>
      </w:pPr>
      <w:r w:rsidRPr="00B83CEC">
        <w:lastRenderedPageBreak/>
        <w:t xml:space="preserve">Tasmania has a natural competitive advantage in renewable energy, with proven hydro and wind resources and emerging biomass </w:t>
      </w:r>
      <w:r w:rsidR="006A3F59">
        <w:t>to bioenergy potential</w:t>
      </w:r>
      <w:r w:rsidRPr="00B83CEC">
        <w:t xml:space="preserve">. </w:t>
      </w:r>
      <w:r w:rsidR="006A3F59">
        <w:t xml:space="preserve">Geothermal and ocean (wave and tidal) energy have longer term potential. </w:t>
      </w:r>
      <w:r w:rsidRPr="00B83CEC">
        <w:t>Tasmania also has significant renewable</w:t>
      </w:r>
      <w:r w:rsidR="0013310F">
        <w:t>-</w:t>
      </w:r>
      <w:r w:rsidRPr="00B83CEC">
        <w:t>energy research</w:t>
      </w:r>
      <w:r w:rsidR="009B3C34">
        <w:t xml:space="preserve"> capability</w:t>
      </w:r>
      <w:r w:rsidRPr="00B83CEC">
        <w:t xml:space="preserve">, </w:t>
      </w:r>
      <w:r w:rsidR="009B3C34">
        <w:t xml:space="preserve">and </w:t>
      </w:r>
      <w:r w:rsidRPr="00B83CEC">
        <w:t>industry and government knowledge.</w:t>
      </w:r>
    </w:p>
    <w:p w14:paraId="2EC6B580" w14:textId="63420E3B" w:rsidR="00B83CEC" w:rsidRPr="00B83CEC" w:rsidRDefault="006A3F59" w:rsidP="00C225A0">
      <w:pPr>
        <w:pStyle w:val="Sectorbody"/>
        <w:spacing w:after="120"/>
        <w:jc w:val="left"/>
        <w:rPr>
          <w:lang w:val="en-US"/>
        </w:rPr>
      </w:pPr>
      <w:r>
        <w:t>Since t</w:t>
      </w:r>
      <w:r w:rsidR="00B83CEC" w:rsidRPr="00B83CEC">
        <w:t>he Tamar Valley gas-fired power station</w:t>
      </w:r>
      <w:r w:rsidR="0013310F">
        <w:t xml:space="preserve"> </w:t>
      </w:r>
      <w:r w:rsidR="00D74BAB">
        <w:t xml:space="preserve">is </w:t>
      </w:r>
      <w:r>
        <w:t xml:space="preserve">now only run on a </w:t>
      </w:r>
      <w:r w:rsidR="00D74BAB">
        <w:t>‘</w:t>
      </w:r>
      <w:r>
        <w:t>campaign basis</w:t>
      </w:r>
      <w:r w:rsidR="00D74BAB">
        <w:t>’,</w:t>
      </w:r>
      <w:r>
        <w:t xml:space="preserve"> </w:t>
      </w:r>
      <w:r w:rsidR="008E25CC">
        <w:t xml:space="preserve">and the remainder of Tasmania’s electricity is hydro-generated (renewable), </w:t>
      </w:r>
      <w:r w:rsidR="00B83CEC" w:rsidRPr="00B83CEC">
        <w:t xml:space="preserve">Tasmania is </w:t>
      </w:r>
      <w:r>
        <w:t xml:space="preserve">at times </w:t>
      </w:r>
      <w:r w:rsidR="00B83CEC" w:rsidRPr="00B83CEC">
        <w:t xml:space="preserve">generating nearly 100 per cent of its electricity needs from renewables each year. The </w:t>
      </w:r>
      <w:r w:rsidR="009B3C34">
        <w:t>s</w:t>
      </w:r>
      <w:r w:rsidR="00B83CEC" w:rsidRPr="00B83CEC">
        <w:t xml:space="preserve">tate contributes </w:t>
      </w:r>
      <w:r w:rsidR="00B83CEC" w:rsidRPr="00B83CEC">
        <w:rPr>
          <w:lang w:val="en-US"/>
        </w:rPr>
        <w:t>around 50 per cent of the nation’s renewable electricity from an installed energy</w:t>
      </w:r>
      <w:r w:rsidR="0013310F">
        <w:rPr>
          <w:lang w:val="en-US"/>
        </w:rPr>
        <w:t>-</w:t>
      </w:r>
      <w:r w:rsidR="00B83CEC" w:rsidRPr="00B83CEC">
        <w:rPr>
          <w:lang w:val="en-US"/>
        </w:rPr>
        <w:t xml:space="preserve">generation capacity of approximately 2.42 GW. Looking to the future, Tasmania has the potential to make a substantial contribution to the national </w:t>
      </w:r>
      <w:r>
        <w:rPr>
          <w:lang w:val="en-US"/>
        </w:rPr>
        <w:t xml:space="preserve">Renewable Energy Target (RET) </w:t>
      </w:r>
      <w:r w:rsidR="00B83CEC" w:rsidRPr="00B83CEC">
        <w:rPr>
          <w:lang w:val="en-US"/>
        </w:rPr>
        <w:t>of producing 20 per cent of Australia’s electricity output from renewable sources by 2020.</w:t>
      </w:r>
    </w:p>
    <w:p w14:paraId="2EC6B581" w14:textId="77777777" w:rsidR="00B83CEC" w:rsidRPr="00B83CEC" w:rsidRDefault="00B83CEC" w:rsidP="0013310F">
      <w:pPr>
        <w:pStyle w:val="Sectorbody"/>
        <w:spacing w:after="200"/>
        <w:jc w:val="left"/>
      </w:pPr>
      <w:r w:rsidRPr="00B83CEC">
        <w:t>Renewable energy projects planned or already in operation include</w:t>
      </w:r>
      <w:r w:rsidR="009B3C34">
        <w:t>:</w:t>
      </w:r>
    </w:p>
    <w:p w14:paraId="2EC6B582" w14:textId="5BD819C0" w:rsidR="00B83CEC" w:rsidRPr="00331AFC" w:rsidRDefault="00B83CEC" w:rsidP="00C225A0">
      <w:pPr>
        <w:pStyle w:val="Sectorbodydotpoints"/>
        <w:spacing w:after="0"/>
        <w:ind w:left="425" w:hanging="425"/>
        <w:jc w:val="left"/>
      </w:pPr>
      <w:r w:rsidRPr="00331AFC">
        <w:t xml:space="preserve">existing hydro assets </w:t>
      </w:r>
      <w:r w:rsidR="008E25CC">
        <w:t xml:space="preserve">increasing output, </w:t>
      </w:r>
      <w:r w:rsidRPr="00331AFC">
        <w:t>and new generation from small and mini-hydros</w:t>
      </w:r>
      <w:r w:rsidR="00C466E3">
        <w:t xml:space="preserve"> </w:t>
      </w:r>
      <w:r w:rsidR="008E25CC">
        <w:t>associated with the new</w:t>
      </w:r>
      <w:r w:rsidR="00C466E3">
        <w:t xml:space="preserve"> Tasmanian Irrigation schemes</w:t>
      </w:r>
      <w:r w:rsidR="008E25CC">
        <w:t xml:space="preserve"> being developed</w:t>
      </w:r>
    </w:p>
    <w:p w14:paraId="2EC6B583" w14:textId="77777777" w:rsidR="00B83CEC" w:rsidRPr="00331AFC" w:rsidRDefault="00B83CEC" w:rsidP="00C225A0">
      <w:pPr>
        <w:pStyle w:val="Sectorbodydotpoints"/>
        <w:spacing w:after="0"/>
        <w:ind w:left="425" w:hanging="425"/>
        <w:jc w:val="left"/>
      </w:pPr>
      <w:r w:rsidRPr="00331AFC">
        <w:t>the continued operation of Hydro Tasmania’s Studland Bay and Bluff Point wind farms (140MW installed capacity)</w:t>
      </w:r>
    </w:p>
    <w:p w14:paraId="2AAD2F36" w14:textId="77777777" w:rsidR="00E649F4" w:rsidRDefault="00B83CEC" w:rsidP="00E649F4">
      <w:pPr>
        <w:pStyle w:val="Sectorbodydotpoints"/>
        <w:spacing w:after="0"/>
        <w:ind w:left="425" w:hanging="425"/>
        <w:jc w:val="left"/>
      </w:pPr>
      <w:r w:rsidRPr="00331AFC">
        <w:t xml:space="preserve">a 168MW wind farm at Musselroe that </w:t>
      </w:r>
      <w:r w:rsidR="008874A3">
        <w:t xml:space="preserve">was </w:t>
      </w:r>
      <w:r w:rsidR="00C466E3">
        <w:t xml:space="preserve">fully </w:t>
      </w:r>
      <w:r w:rsidRPr="00331AFC">
        <w:t>commissioned</w:t>
      </w:r>
      <w:r w:rsidR="0013310F">
        <w:t xml:space="preserve"> in </w:t>
      </w:r>
      <w:r w:rsidR="00C466E3">
        <w:t>late 2013</w:t>
      </w:r>
    </w:p>
    <w:p w14:paraId="2EC6B585" w14:textId="791651BD" w:rsidR="00B83CEC" w:rsidRPr="00331AFC" w:rsidRDefault="00B83CEC" w:rsidP="00E649F4">
      <w:pPr>
        <w:pStyle w:val="Sectorbodydotpoints"/>
        <w:spacing w:after="0"/>
        <w:ind w:left="425" w:hanging="425"/>
        <w:jc w:val="left"/>
      </w:pPr>
      <w:r w:rsidRPr="00331AFC">
        <w:t>plans for wind projects on King Island, Central and North West Tasmania of up to 740MW of installed capacity</w:t>
      </w:r>
      <w:r w:rsidR="00FA1106">
        <w:t>, in conjunction with consideration of a second mainland interconnector</w:t>
      </w:r>
    </w:p>
    <w:p w14:paraId="2EC6B586" w14:textId="16C2EF40" w:rsidR="00B83CEC" w:rsidRPr="00331AFC" w:rsidRDefault="00B83CEC" w:rsidP="00C225A0">
      <w:pPr>
        <w:pStyle w:val="Sectorbodydotpoints"/>
        <w:spacing w:after="0"/>
        <w:jc w:val="left"/>
      </w:pPr>
      <w:proofErr w:type="gramStart"/>
      <w:r w:rsidRPr="00331AFC">
        <w:t>substantial</w:t>
      </w:r>
      <w:proofErr w:type="gramEnd"/>
      <w:r w:rsidRPr="00331AFC">
        <w:t xml:space="preserve"> research and innovation programs underway in other commercial</w:t>
      </w:r>
      <w:r w:rsidR="009B3C34">
        <w:t>-</w:t>
      </w:r>
      <w:r w:rsidRPr="00331AFC">
        <w:t>scale generation technologies</w:t>
      </w:r>
      <w:r w:rsidR="009B3C34">
        <w:t>,</w:t>
      </w:r>
      <w:r w:rsidRPr="00331AFC">
        <w:t xml:space="preserve"> including marine, geothermal and bio-energy technologies. </w:t>
      </w:r>
    </w:p>
    <w:p w14:paraId="2EC6B587" w14:textId="77777777" w:rsidR="00B83CEC" w:rsidRPr="00B83CEC" w:rsidRDefault="00B83CEC" w:rsidP="00C225A0">
      <w:pPr>
        <w:pStyle w:val="Sectorbody"/>
        <w:jc w:val="left"/>
      </w:pPr>
      <w:r w:rsidRPr="00B83CEC">
        <w:t>Renewable energy generated in Tasmania can be fed into the mainland Australia electricity grid via the Basslink undersea cable</w:t>
      </w:r>
      <w:r w:rsidR="009B3C34">
        <w:t>,</w:t>
      </w:r>
      <w:r w:rsidRPr="00B83CEC">
        <w:t xml:space="preserve"> which was completed in 2006.</w:t>
      </w:r>
    </w:p>
    <w:p w14:paraId="799884A4" w14:textId="77777777" w:rsidR="00D74BAB" w:rsidRDefault="00B83CEC" w:rsidP="00C225A0">
      <w:pPr>
        <w:pStyle w:val="Sectorbody"/>
        <w:jc w:val="left"/>
      </w:pPr>
      <w:r w:rsidRPr="00B83CEC">
        <w:t xml:space="preserve">The Tasmanian Renewable Energy Industry Development Board </w:t>
      </w:r>
      <w:r w:rsidR="00DF0993">
        <w:t xml:space="preserve">in the period 2009-2011 developed a strategy document that became a key source of advice to the Tasmanian government in this policy area. </w:t>
      </w:r>
      <w:r w:rsidR="00902284">
        <w:t>Initial priorities for the sector, as informed by that strategy document</w:t>
      </w:r>
      <w:r w:rsidR="009B3C34">
        <w:t>,</w:t>
      </w:r>
      <w:r w:rsidRPr="00B83CEC">
        <w:t xml:space="preserve"> are outlined in this Sector Summary.  </w:t>
      </w:r>
    </w:p>
    <w:p w14:paraId="2EC6B58B" w14:textId="3FCF12C4" w:rsidR="00B83CEC" w:rsidRPr="00B83CEC" w:rsidRDefault="00B83CEC" w:rsidP="00C225A0">
      <w:pPr>
        <w:pStyle w:val="Sectorbody"/>
        <w:jc w:val="left"/>
      </w:pPr>
      <w:r w:rsidRPr="00B83CEC">
        <w:t xml:space="preserve">The </w:t>
      </w:r>
      <w:r w:rsidR="008874A3">
        <w:t>B</w:t>
      </w:r>
      <w:r w:rsidRPr="00B83CEC">
        <w:t>oard’s advice was also used to inform the Electricity Supply Industry Review</w:t>
      </w:r>
      <w:r w:rsidR="009B3C34">
        <w:t>,</w:t>
      </w:r>
      <w:r w:rsidRPr="00B83CEC">
        <w:t xml:space="preserve"> </w:t>
      </w:r>
      <w:r w:rsidR="009B3C34">
        <w:t>which</w:t>
      </w:r>
      <w:r w:rsidRPr="00B83CEC">
        <w:t xml:space="preserve"> reported</w:t>
      </w:r>
      <w:r w:rsidR="009B3C34">
        <w:t xml:space="preserve"> in</w:t>
      </w:r>
      <w:r w:rsidRPr="00B83CEC">
        <w:t xml:space="preserve"> December 2011. The </w:t>
      </w:r>
      <w:r w:rsidR="009B3C34">
        <w:t>r</w:t>
      </w:r>
      <w:r w:rsidRPr="00B83CEC">
        <w:t xml:space="preserve">eview was charged with providing guidance to </w:t>
      </w:r>
      <w:r w:rsidR="002172AA">
        <w:t>p</w:t>
      </w:r>
      <w:r w:rsidRPr="00B83CEC">
        <w:t xml:space="preserve">arliament on the current position and future development of Tasmania’s electricity industry. The key </w:t>
      </w:r>
      <w:r w:rsidR="00C466E3">
        <w:t>recommendations</w:t>
      </w:r>
      <w:r w:rsidR="00C466E3" w:rsidRPr="00B83CEC">
        <w:t xml:space="preserve"> </w:t>
      </w:r>
      <w:r w:rsidRPr="00B83CEC">
        <w:t xml:space="preserve">of the review </w:t>
      </w:r>
      <w:r w:rsidR="002172AA">
        <w:t>were</w:t>
      </w:r>
      <w:r w:rsidRPr="00B83CEC">
        <w:t xml:space="preserve"> to </w:t>
      </w:r>
      <w:r w:rsidR="008874A3">
        <w:t xml:space="preserve">1) </w:t>
      </w:r>
      <w:r w:rsidRPr="00B83CEC">
        <w:t>improve transparency of the wholesale electricity market</w:t>
      </w:r>
      <w:r w:rsidR="002172AA">
        <w:t>,</w:t>
      </w:r>
      <w:r w:rsidRPr="00B83CEC">
        <w:t xml:space="preserve"> </w:t>
      </w:r>
      <w:r w:rsidR="008874A3">
        <w:t xml:space="preserve">2) </w:t>
      </w:r>
      <w:r w:rsidRPr="00B83CEC">
        <w:t>to merge the transmission and distribution networks</w:t>
      </w:r>
      <w:r w:rsidR="002172AA">
        <w:t>,</w:t>
      </w:r>
      <w:r w:rsidRPr="00B83CEC">
        <w:t xml:space="preserve"> </w:t>
      </w:r>
      <w:r w:rsidR="008874A3">
        <w:t>3) to sell</w:t>
      </w:r>
      <w:r w:rsidRPr="00B83CEC">
        <w:t xml:space="preserve"> the Tamar Valley Gas Power Station</w:t>
      </w:r>
      <w:r w:rsidR="002172AA">
        <w:t>,</w:t>
      </w:r>
      <w:r w:rsidRPr="00B83CEC">
        <w:t xml:space="preserve"> and </w:t>
      </w:r>
      <w:r w:rsidR="008874A3">
        <w:t xml:space="preserve">4) </w:t>
      </w:r>
      <w:r w:rsidRPr="00B83CEC">
        <w:t>to proceed with full retail contestability in the retail market.</w:t>
      </w:r>
      <w:r w:rsidR="00C466E3">
        <w:t xml:space="preserve"> </w:t>
      </w:r>
      <w:r w:rsidR="00E649F4">
        <w:t>The first three of these</w:t>
      </w:r>
      <w:r w:rsidR="00C466E3">
        <w:t xml:space="preserve"> have been implemented</w:t>
      </w:r>
      <w:r w:rsidR="00E649F4">
        <w:t xml:space="preserve"> and work is continuing on the fourth</w:t>
      </w:r>
      <w:r w:rsidR="004C3F68">
        <w:t>.</w:t>
      </w:r>
    </w:p>
    <w:p w14:paraId="2EC6B58C" w14:textId="73173D4A" w:rsidR="0058406A" w:rsidRDefault="00B83CEC" w:rsidP="00C225A0">
      <w:pPr>
        <w:pStyle w:val="Sectorbody"/>
        <w:jc w:val="left"/>
      </w:pPr>
      <w:r w:rsidRPr="00B83CEC">
        <w:t xml:space="preserve">Following the election of the </w:t>
      </w:r>
      <w:r w:rsidR="008874A3">
        <w:t>Commonwealth</w:t>
      </w:r>
      <w:r w:rsidR="002172AA" w:rsidRPr="00B83CEC">
        <w:t xml:space="preserve"> </w:t>
      </w:r>
      <w:r w:rsidR="002172AA">
        <w:t>G</w:t>
      </w:r>
      <w:r w:rsidRPr="00B83CEC">
        <w:t xml:space="preserve">overnment in September 2013, the previous administration’s Clean Energy Future plan is being significantly rationalised. </w:t>
      </w:r>
      <w:r w:rsidR="006A3F59">
        <w:t>The policy areas covering renewable energy</w:t>
      </w:r>
      <w:r w:rsidR="000907FB">
        <w:t>,</w:t>
      </w:r>
      <w:r w:rsidR="006A3F59">
        <w:t xml:space="preserve"> including climate change, carbon pricing and greenhouse gas mitigation measures are still highly fluid and subject to intense debate and scrutiny. </w:t>
      </w:r>
      <w:r w:rsidR="000907FB">
        <w:t>The impact of these policy shifts on the future of Tasmania’s role as a major participant in the renewable energy sector is yet to be determined.</w:t>
      </w:r>
    </w:p>
    <w:p w14:paraId="2EC6B58D" w14:textId="77777777" w:rsidR="00FC083E" w:rsidRDefault="00FC083E" w:rsidP="00C225A0">
      <w:pPr>
        <w:pStyle w:val="Sectorbody"/>
        <w:jc w:val="left"/>
        <w:sectPr w:rsidR="00FC083E" w:rsidSect="00331AFC">
          <w:headerReference w:type="default" r:id="rId14"/>
          <w:footerReference w:type="default" r:id="rId15"/>
          <w:pgSz w:w="11906" w:h="16838"/>
          <w:pgMar w:top="1525" w:right="849" w:bottom="1135" w:left="1134" w:header="708" w:footer="696" w:gutter="0"/>
          <w:cols w:space="708"/>
          <w:docGrid w:linePitch="360"/>
        </w:sectPr>
      </w:pPr>
    </w:p>
    <w:p w14:paraId="6C032E6B" w14:textId="77777777" w:rsidR="00FE17C2" w:rsidRDefault="00FE17C2" w:rsidP="00FE17C2">
      <w:pPr>
        <w:pStyle w:val="Heading2"/>
        <w:tabs>
          <w:tab w:val="left" w:pos="648"/>
        </w:tabs>
        <w:jc w:val="left"/>
      </w:pPr>
      <w:r>
        <w:lastRenderedPageBreak/>
        <w:tab/>
      </w:r>
    </w:p>
    <w:p w14:paraId="2EC6B58E" w14:textId="5118C059" w:rsidR="00D60D44" w:rsidRDefault="0086322E" w:rsidP="00FE17C2">
      <w:pPr>
        <w:pStyle w:val="Heading2"/>
        <w:tabs>
          <w:tab w:val="left" w:pos="648"/>
        </w:tabs>
        <w:jc w:val="left"/>
      </w:pPr>
      <w:r>
        <w:t>Constraints</w:t>
      </w:r>
    </w:p>
    <w:p w14:paraId="2EC6B58F" w14:textId="0BF09349" w:rsidR="00BF461F" w:rsidRPr="00C00A5C" w:rsidRDefault="00BF461F" w:rsidP="00C225A0">
      <w:pPr>
        <w:pStyle w:val="Sectorbodydotpoints"/>
        <w:jc w:val="left"/>
      </w:pPr>
      <w:r w:rsidRPr="00C00A5C">
        <w:t xml:space="preserve">The </w:t>
      </w:r>
      <w:r w:rsidR="008874A3">
        <w:t>Commonwealth</w:t>
      </w:r>
      <w:r w:rsidR="002172AA" w:rsidRPr="00C00A5C">
        <w:t xml:space="preserve"> </w:t>
      </w:r>
      <w:r w:rsidRPr="00C00A5C">
        <w:t xml:space="preserve">Government is legislating to remove the carbon-pricing mechanism and introduce a </w:t>
      </w:r>
      <w:r w:rsidR="00D74BAB">
        <w:t>‘</w:t>
      </w:r>
      <w:r w:rsidR="00DF0993">
        <w:t>D</w:t>
      </w:r>
      <w:r w:rsidRPr="00C00A5C">
        <w:t xml:space="preserve">irect </w:t>
      </w:r>
      <w:r w:rsidR="00DF0993">
        <w:t>A</w:t>
      </w:r>
      <w:r w:rsidRPr="00C00A5C">
        <w:t>ction</w:t>
      </w:r>
      <w:r w:rsidR="00D74BAB">
        <w:t>’</w:t>
      </w:r>
      <w:r w:rsidRPr="00C00A5C">
        <w:t xml:space="preserve"> policy</w:t>
      </w:r>
      <w:r w:rsidR="002172AA">
        <w:t>,</w:t>
      </w:r>
      <w:r w:rsidRPr="00C00A5C">
        <w:t xml:space="preserve"> which is likely to lessen incentives for developers of utility-scale renewable energy projects</w:t>
      </w:r>
      <w:r w:rsidR="002172AA">
        <w:t>.</w:t>
      </w:r>
      <w:r w:rsidR="00E043F8">
        <w:t xml:space="preserve"> Significant uncertainties in the legislative program remain, with the role of the Senate in supporting these changes becoming of increasing importance</w:t>
      </w:r>
      <w:r w:rsidR="00993C46">
        <w:t>.</w:t>
      </w:r>
    </w:p>
    <w:p w14:paraId="2EC6B590" w14:textId="5E957E82" w:rsidR="00BF461F" w:rsidRPr="00C00A5C" w:rsidRDefault="00BF461F" w:rsidP="00C225A0">
      <w:pPr>
        <w:pStyle w:val="Sectorbodydotpoints"/>
        <w:jc w:val="left"/>
      </w:pPr>
      <w:r w:rsidRPr="00C00A5C">
        <w:t xml:space="preserve">The </w:t>
      </w:r>
      <w:r w:rsidR="008874A3">
        <w:t>Commonwealth</w:t>
      </w:r>
      <w:r w:rsidR="008874A3" w:rsidRPr="00C00A5C">
        <w:t xml:space="preserve"> </w:t>
      </w:r>
      <w:r w:rsidRPr="00C00A5C">
        <w:t>Government is reviewing the Renewable Energy Target (RET) program. Renewable Energy Certificates generated under the RET provide subsidies t</w:t>
      </w:r>
      <w:r w:rsidR="00CA024E">
        <w:t xml:space="preserve">o renewable energy generators. </w:t>
      </w:r>
      <w:r w:rsidRPr="00C00A5C">
        <w:t xml:space="preserve">The objective of this program is to meet a national target that 20 per cent of Australia’s electricity be sourced from renewables by 2020. It is possible that the RET program will be modified significantly, thus making it more difficult for new </w:t>
      </w:r>
      <w:r w:rsidR="002172AA">
        <w:t>renewable energy</w:t>
      </w:r>
      <w:r w:rsidRPr="00C00A5C">
        <w:t xml:space="preserve"> projects to proceed</w:t>
      </w:r>
      <w:r w:rsidR="002172AA">
        <w:t>.</w:t>
      </w:r>
    </w:p>
    <w:p w14:paraId="2EC6B591" w14:textId="0523F9D9" w:rsidR="00BF461F" w:rsidRDefault="00BF461F" w:rsidP="00C225A0">
      <w:pPr>
        <w:pStyle w:val="Sectorbodydotpoints"/>
        <w:jc w:val="left"/>
      </w:pPr>
      <w:r w:rsidRPr="00C00A5C">
        <w:t>Since the introduction of carbon pricing in July 2012, total demand for electricity in Australia has declined primarily due to the off-shoring of Australian manufacturers and increased energy efficiencies</w:t>
      </w:r>
      <w:r w:rsidR="002172AA">
        <w:t>.</w:t>
      </w:r>
    </w:p>
    <w:p w14:paraId="2EC6B592" w14:textId="317FBA2C" w:rsidR="00DF0993" w:rsidRPr="00C00A5C" w:rsidRDefault="00DF0993" w:rsidP="004C3F68">
      <w:pPr>
        <w:pStyle w:val="Sectorbodydotpoints"/>
        <w:jc w:val="left"/>
      </w:pPr>
      <w:r>
        <w:t xml:space="preserve">The loss of one or more Tasmanian Major </w:t>
      </w:r>
      <w:r w:rsidR="00D74FD4">
        <w:t>Industries</w:t>
      </w:r>
      <w:r>
        <w:t>, through closure or relocation, would impact significantly on the state’s aggregate energy demand. This would result in a substantial surplus of excess generating capacity</w:t>
      </w:r>
      <w:r w:rsidR="00486259">
        <w:t xml:space="preserve">. A response to this could be </w:t>
      </w:r>
      <w:r w:rsidR="00C466E3">
        <w:t xml:space="preserve">a major </w:t>
      </w:r>
      <w:r>
        <w:t>lift in exports of electricity over the Bass</w:t>
      </w:r>
      <w:r w:rsidR="00E649F4">
        <w:t>l</w:t>
      </w:r>
      <w:r>
        <w:t>ink Interconnector</w:t>
      </w:r>
      <w:r w:rsidR="00486259">
        <w:t>.</w:t>
      </w:r>
      <w:r>
        <w:t xml:space="preserve"> </w:t>
      </w:r>
    </w:p>
    <w:p w14:paraId="0A018DA8" w14:textId="0C5DF79A" w:rsidR="004C3F68" w:rsidRDefault="00BF461F" w:rsidP="00C225A0">
      <w:pPr>
        <w:pStyle w:val="Sectorbodydotpoints"/>
        <w:jc w:val="left"/>
      </w:pPr>
      <w:r w:rsidRPr="00C00A5C">
        <w:t xml:space="preserve">The installed base of domestic photo-voltaic </w:t>
      </w:r>
      <w:r w:rsidR="00486259">
        <w:t xml:space="preserve">(PV) </w:t>
      </w:r>
      <w:r w:rsidRPr="00C00A5C">
        <w:t>arrays now exceeds one million houses</w:t>
      </w:r>
      <w:r w:rsidR="00D74FD4">
        <w:t xml:space="preserve"> across Australia</w:t>
      </w:r>
      <w:r w:rsidR="008874A3">
        <w:t>. This</w:t>
      </w:r>
      <w:r w:rsidR="008874A3" w:rsidRPr="00C00A5C">
        <w:t xml:space="preserve"> </w:t>
      </w:r>
      <w:r w:rsidRPr="00C00A5C">
        <w:t xml:space="preserve">aggregate generating capacity </w:t>
      </w:r>
      <w:r w:rsidR="008874A3">
        <w:t xml:space="preserve">is </w:t>
      </w:r>
      <w:r w:rsidRPr="00C00A5C">
        <w:t xml:space="preserve">impacting on </w:t>
      </w:r>
      <w:r w:rsidR="00C466E3">
        <w:t xml:space="preserve">the development of new </w:t>
      </w:r>
      <w:r w:rsidRPr="00C00A5C">
        <w:t>large</w:t>
      </w:r>
      <w:r w:rsidR="00C466E3">
        <w:t xml:space="preserve">-scale </w:t>
      </w:r>
      <w:r w:rsidR="00486259">
        <w:t xml:space="preserve">base-load </w:t>
      </w:r>
      <w:r w:rsidRPr="00C00A5C">
        <w:t>generat</w:t>
      </w:r>
      <w:r w:rsidR="00486259">
        <w:t>ion and at the same time</w:t>
      </w:r>
      <w:r w:rsidRPr="00C00A5C">
        <w:t xml:space="preserve"> putting network infrastructure under stress</w:t>
      </w:r>
      <w:r w:rsidR="00486259">
        <w:t>. The intermittent nature of PV and wind generation can cause significant voltage and frequency variations across the network</w:t>
      </w:r>
      <w:r w:rsidR="00993C46">
        <w:t>.</w:t>
      </w:r>
    </w:p>
    <w:p w14:paraId="2EC6B594" w14:textId="78A40DBD" w:rsidR="00BF461F" w:rsidRPr="00C00A5C" w:rsidRDefault="00BF461F" w:rsidP="00C225A0">
      <w:pPr>
        <w:pStyle w:val="Sectorbodydotpoints"/>
        <w:jc w:val="left"/>
      </w:pPr>
      <w:r w:rsidRPr="00C00A5C">
        <w:t>Regulatory and policy framework hurdles, particularly National Electricity Market rules and regulations</w:t>
      </w:r>
      <w:r w:rsidR="002172AA">
        <w:t>.</w:t>
      </w:r>
    </w:p>
    <w:p w14:paraId="2EC6B595" w14:textId="055E16CF" w:rsidR="00BF461F" w:rsidRPr="00C00A5C" w:rsidRDefault="00BF461F" w:rsidP="00C225A0">
      <w:pPr>
        <w:pStyle w:val="Sectorbodydotpoints"/>
        <w:jc w:val="left"/>
      </w:pPr>
      <w:r w:rsidRPr="00C00A5C">
        <w:t>Relatively</w:t>
      </w:r>
      <w:r w:rsidR="008874A3">
        <w:t>-</w:t>
      </w:r>
      <w:r w:rsidRPr="00C00A5C">
        <w:t>high capital costs associated with investment in large</w:t>
      </w:r>
      <w:r w:rsidR="002172AA">
        <w:t>-</w:t>
      </w:r>
      <w:r w:rsidRPr="00C00A5C">
        <w:t xml:space="preserve">scale renewable energy and an associated difficulty obtaining finance, particularly </w:t>
      </w:r>
      <w:r w:rsidR="00486259">
        <w:t xml:space="preserve">with policy uncertainties surrounding the Renewable Energy Target. </w:t>
      </w:r>
    </w:p>
    <w:p w14:paraId="2EC6B596" w14:textId="77777777" w:rsidR="00BF461F" w:rsidRPr="00C00A5C" w:rsidRDefault="00BF461F" w:rsidP="00C225A0">
      <w:pPr>
        <w:pStyle w:val="Sectorbodydotpoints"/>
        <w:jc w:val="left"/>
      </w:pPr>
      <w:r w:rsidRPr="00C00A5C">
        <w:t>Complexity of planning and approval processes</w:t>
      </w:r>
      <w:r w:rsidR="002172AA">
        <w:t>.</w:t>
      </w:r>
    </w:p>
    <w:p w14:paraId="2EC6B597" w14:textId="77777777" w:rsidR="00BF461F" w:rsidRPr="00C00A5C" w:rsidRDefault="00BF461F" w:rsidP="00C225A0">
      <w:pPr>
        <w:pStyle w:val="Sectorbodydotpoints"/>
        <w:jc w:val="left"/>
      </w:pPr>
      <w:r w:rsidRPr="00C00A5C">
        <w:t>Remoteness of some renewable energy resources and intermittency of wind and solar power</w:t>
      </w:r>
      <w:r w:rsidR="002172AA">
        <w:t>.</w:t>
      </w:r>
    </w:p>
    <w:p w14:paraId="2EC6B598" w14:textId="77777777" w:rsidR="00BF461F" w:rsidRPr="00C00A5C" w:rsidRDefault="00BF461F" w:rsidP="00C225A0">
      <w:pPr>
        <w:pStyle w:val="Sectorbodydotpoints"/>
        <w:jc w:val="left"/>
      </w:pPr>
      <w:r w:rsidRPr="00C00A5C">
        <w:t>The characteristics and age of generation, transmission and related infrastructure</w:t>
      </w:r>
      <w:r w:rsidR="002172AA">
        <w:t>.</w:t>
      </w:r>
    </w:p>
    <w:p w14:paraId="2EC6B599" w14:textId="77777777" w:rsidR="00BF461F" w:rsidRPr="00C00A5C" w:rsidRDefault="00BF461F" w:rsidP="00C225A0">
      <w:pPr>
        <w:pStyle w:val="Sectorbodydotpoints"/>
        <w:jc w:val="left"/>
      </w:pPr>
      <w:r w:rsidRPr="00C00A5C">
        <w:t>Network connection and commercial matters involving electricity service providers</w:t>
      </w:r>
      <w:r w:rsidR="002172AA">
        <w:t>.</w:t>
      </w:r>
    </w:p>
    <w:p w14:paraId="2EC6B59A" w14:textId="77777777" w:rsidR="00BF461F" w:rsidRPr="00C00A5C" w:rsidRDefault="00BF461F" w:rsidP="00C225A0">
      <w:pPr>
        <w:pStyle w:val="Sectorbodydotpoints"/>
        <w:jc w:val="left"/>
      </w:pPr>
      <w:r w:rsidRPr="00C00A5C">
        <w:t>Limited size of the Tasmanian electricity market</w:t>
      </w:r>
      <w:r w:rsidR="002172AA">
        <w:t>.</w:t>
      </w:r>
    </w:p>
    <w:p w14:paraId="2EC6B59B" w14:textId="13111AD9" w:rsidR="00BF461F" w:rsidRPr="00C00A5C" w:rsidRDefault="00BF461F" w:rsidP="00C225A0">
      <w:pPr>
        <w:pStyle w:val="Sectorbodydotpoints"/>
        <w:jc w:val="left"/>
      </w:pPr>
      <w:r w:rsidRPr="00C00A5C">
        <w:t xml:space="preserve">Recent history of </w:t>
      </w:r>
      <w:r w:rsidR="002172AA">
        <w:t xml:space="preserve">high </w:t>
      </w:r>
      <w:r w:rsidRPr="00C00A5C">
        <w:t>electricity prices</w:t>
      </w:r>
      <w:r w:rsidR="00E47419">
        <w:t>, with</w:t>
      </w:r>
      <w:r w:rsidRPr="00C00A5C">
        <w:t xml:space="preserve"> rising costs</w:t>
      </w:r>
      <w:r w:rsidR="00486259">
        <w:t xml:space="preserve"> due to network upgrades</w:t>
      </w:r>
      <w:r w:rsidR="00922167">
        <w:t>.</w:t>
      </w:r>
    </w:p>
    <w:p w14:paraId="2EC6B59C" w14:textId="4BCACB10" w:rsidR="00BF461F" w:rsidRPr="00DE4D8C" w:rsidRDefault="00E649F4" w:rsidP="00C225A0">
      <w:pPr>
        <w:pStyle w:val="Sectorbodydotpoints"/>
        <w:jc w:val="left"/>
        <w:rPr>
          <w:spacing w:val="-2"/>
        </w:rPr>
      </w:pPr>
      <w:r>
        <w:rPr>
          <w:spacing w:val="-2"/>
        </w:rPr>
        <w:t>T</w:t>
      </w:r>
      <w:r w:rsidR="00C466E3">
        <w:rPr>
          <w:spacing w:val="-2"/>
        </w:rPr>
        <w:t xml:space="preserve">ransmission </w:t>
      </w:r>
      <w:r w:rsidR="00E47419">
        <w:rPr>
          <w:spacing w:val="-2"/>
        </w:rPr>
        <w:t xml:space="preserve">losses </w:t>
      </w:r>
      <w:r w:rsidR="00BF461F" w:rsidRPr="00DE4D8C">
        <w:rPr>
          <w:spacing w:val="-2"/>
        </w:rPr>
        <w:t>to Victoria</w:t>
      </w:r>
      <w:r w:rsidR="00C466E3">
        <w:rPr>
          <w:spacing w:val="-2"/>
        </w:rPr>
        <w:t xml:space="preserve">, due to the length of </w:t>
      </w:r>
      <w:r w:rsidR="00E47419">
        <w:rPr>
          <w:spacing w:val="-2"/>
        </w:rPr>
        <w:t>B</w:t>
      </w:r>
      <w:r w:rsidR="00C466E3">
        <w:rPr>
          <w:spacing w:val="-2"/>
        </w:rPr>
        <w:t>ass</w:t>
      </w:r>
      <w:r w:rsidR="004C3F68">
        <w:rPr>
          <w:spacing w:val="-2"/>
        </w:rPr>
        <w:t>l</w:t>
      </w:r>
      <w:r w:rsidR="00E47419">
        <w:rPr>
          <w:spacing w:val="-2"/>
        </w:rPr>
        <w:t>i</w:t>
      </w:r>
      <w:r w:rsidR="00C466E3">
        <w:rPr>
          <w:spacing w:val="-2"/>
        </w:rPr>
        <w:t>nk</w:t>
      </w:r>
      <w:r w:rsidR="00E47419">
        <w:rPr>
          <w:spacing w:val="-2"/>
        </w:rPr>
        <w:t xml:space="preserve"> interconnector</w:t>
      </w:r>
      <w:r w:rsidR="00C466E3">
        <w:rPr>
          <w:spacing w:val="-2"/>
        </w:rPr>
        <w:t>,</w:t>
      </w:r>
      <w:r w:rsidR="00BF461F" w:rsidRPr="00DE4D8C">
        <w:rPr>
          <w:spacing w:val="-2"/>
        </w:rPr>
        <w:t xml:space="preserve"> </w:t>
      </w:r>
      <w:r>
        <w:rPr>
          <w:spacing w:val="-2"/>
        </w:rPr>
        <w:t xml:space="preserve">results in </w:t>
      </w:r>
      <w:r w:rsidR="009A3969">
        <w:rPr>
          <w:spacing w:val="-2"/>
        </w:rPr>
        <w:t xml:space="preserve">an </w:t>
      </w:r>
      <w:r>
        <w:rPr>
          <w:spacing w:val="-2"/>
        </w:rPr>
        <w:t>increased</w:t>
      </w:r>
      <w:r w:rsidR="00BF461F" w:rsidRPr="00DE4D8C">
        <w:rPr>
          <w:spacing w:val="-2"/>
        </w:rPr>
        <w:t xml:space="preserve"> </w:t>
      </w:r>
      <w:r w:rsidR="00E47419">
        <w:rPr>
          <w:spacing w:val="-2"/>
        </w:rPr>
        <w:t xml:space="preserve">delivered </w:t>
      </w:r>
      <w:r w:rsidR="00BF461F" w:rsidRPr="00DE4D8C">
        <w:rPr>
          <w:spacing w:val="-2"/>
        </w:rPr>
        <w:t xml:space="preserve">cost of </w:t>
      </w:r>
      <w:r w:rsidR="009A3969">
        <w:rPr>
          <w:spacing w:val="-2"/>
        </w:rPr>
        <w:t xml:space="preserve">the </w:t>
      </w:r>
      <w:r w:rsidR="00BF461F" w:rsidRPr="00DE4D8C">
        <w:rPr>
          <w:spacing w:val="-2"/>
        </w:rPr>
        <w:t>electricity</w:t>
      </w:r>
      <w:r>
        <w:rPr>
          <w:spacing w:val="-2"/>
        </w:rPr>
        <w:t xml:space="preserve"> </w:t>
      </w:r>
      <w:r w:rsidR="00E47419">
        <w:rPr>
          <w:spacing w:val="-2"/>
        </w:rPr>
        <w:t>compared</w:t>
      </w:r>
      <w:r w:rsidR="00BF461F" w:rsidRPr="00DE4D8C">
        <w:rPr>
          <w:spacing w:val="-2"/>
        </w:rPr>
        <w:t xml:space="preserve"> to </w:t>
      </w:r>
      <w:r w:rsidR="00E47419">
        <w:rPr>
          <w:spacing w:val="-2"/>
        </w:rPr>
        <w:t>mainland</w:t>
      </w:r>
      <w:r w:rsidR="00BF461F" w:rsidRPr="00DE4D8C">
        <w:rPr>
          <w:spacing w:val="-2"/>
        </w:rPr>
        <w:t xml:space="preserve"> generators</w:t>
      </w:r>
      <w:r w:rsidR="002172AA" w:rsidRPr="00DE4D8C">
        <w:rPr>
          <w:spacing w:val="-2"/>
        </w:rPr>
        <w:t>.</w:t>
      </w:r>
    </w:p>
    <w:p w14:paraId="2EC6B59D" w14:textId="77777777" w:rsidR="00D60D44" w:rsidRDefault="0086322E" w:rsidP="008874A3">
      <w:pPr>
        <w:pStyle w:val="Heading2"/>
        <w:spacing w:before="240"/>
        <w:jc w:val="left"/>
      </w:pPr>
      <w:r>
        <w:t>Opportunities</w:t>
      </w:r>
    </w:p>
    <w:p w14:paraId="2EC6B59E" w14:textId="4522510A" w:rsidR="00BF461F" w:rsidRDefault="00E73CE6" w:rsidP="00C225A0">
      <w:pPr>
        <w:pStyle w:val="Sectorbodydotpoints"/>
        <w:jc w:val="left"/>
      </w:pPr>
      <w:r>
        <w:t>The e</w:t>
      </w:r>
      <w:r w:rsidR="00BF461F">
        <w:t xml:space="preserve">xisting electricity supply </w:t>
      </w:r>
      <w:r>
        <w:t xml:space="preserve">is </w:t>
      </w:r>
      <w:r w:rsidR="00BF461F">
        <w:t xml:space="preserve">primarily based </w:t>
      </w:r>
      <w:r>
        <w:t xml:space="preserve">on </w:t>
      </w:r>
      <w:r w:rsidR="00BF461F">
        <w:t xml:space="preserve">renewable resources, such as hydro infrastructure, and </w:t>
      </w:r>
      <w:r>
        <w:t xml:space="preserve">there is </w:t>
      </w:r>
      <w:r w:rsidR="00BF461F">
        <w:t>broad resource c</w:t>
      </w:r>
      <w:r w:rsidR="00DE4D8C">
        <w:t xml:space="preserve">apability advantage, including </w:t>
      </w:r>
      <w:r w:rsidR="00BF461F">
        <w:t>wind, biomass energy, geothermal and marine resources</w:t>
      </w:r>
      <w:r w:rsidR="00DE4D8C">
        <w:t>.</w:t>
      </w:r>
    </w:p>
    <w:p w14:paraId="2EC6B59F" w14:textId="0DE58AFD" w:rsidR="00BF461F" w:rsidRDefault="00BF461F" w:rsidP="00C225A0">
      <w:pPr>
        <w:pStyle w:val="Sectorbodydotpoints"/>
        <w:jc w:val="left"/>
      </w:pPr>
      <w:r>
        <w:t xml:space="preserve">Some renewable resources are relatively close to </w:t>
      </w:r>
      <w:r w:rsidR="00E73CE6">
        <w:t xml:space="preserve">the </w:t>
      </w:r>
      <w:r>
        <w:t>existing electricity network infrastructure</w:t>
      </w:r>
      <w:r w:rsidR="00DE4D8C">
        <w:t>.</w:t>
      </w:r>
    </w:p>
    <w:p w14:paraId="52B7AF12" w14:textId="77777777" w:rsidR="004807E5" w:rsidRDefault="004807E5" w:rsidP="004807E5">
      <w:pPr>
        <w:pStyle w:val="Sectorbodydotpoints"/>
        <w:numPr>
          <w:ilvl w:val="0"/>
          <w:numId w:val="0"/>
        </w:numPr>
        <w:jc w:val="left"/>
      </w:pPr>
    </w:p>
    <w:p w14:paraId="329DE284" w14:textId="77777777" w:rsidR="004807E5" w:rsidRDefault="004807E5" w:rsidP="004807E5">
      <w:pPr>
        <w:pStyle w:val="Sectorbodydotpoints"/>
        <w:numPr>
          <w:ilvl w:val="0"/>
          <w:numId w:val="0"/>
        </w:numPr>
        <w:ind w:left="426" w:hanging="426"/>
        <w:jc w:val="left"/>
      </w:pPr>
    </w:p>
    <w:p w14:paraId="2EC6B5A0" w14:textId="1DF09A21" w:rsidR="00BF461F" w:rsidRDefault="00BF461F" w:rsidP="00C225A0">
      <w:pPr>
        <w:pStyle w:val="Sectorbodydotpoints"/>
        <w:jc w:val="left"/>
      </w:pPr>
      <w:r>
        <w:t xml:space="preserve">The current Bass Strait electricity link has </w:t>
      </w:r>
      <w:r w:rsidR="00FA1106">
        <w:t xml:space="preserve">further </w:t>
      </w:r>
      <w:r>
        <w:t>capacity to accommodate growth in renewable electricity generat</w:t>
      </w:r>
      <w:r w:rsidR="00E73CE6">
        <w:t>ed</w:t>
      </w:r>
      <w:r>
        <w:t xml:space="preserve"> for export. </w:t>
      </w:r>
    </w:p>
    <w:p w14:paraId="2F52C507" w14:textId="123FB3AD" w:rsidR="008E25CC" w:rsidRDefault="008E25CC" w:rsidP="00C225A0">
      <w:pPr>
        <w:pStyle w:val="Sectorbodydotpoints"/>
        <w:jc w:val="left"/>
      </w:pPr>
      <w:r>
        <w:t>A very large wind power project</w:t>
      </w:r>
      <w:r w:rsidR="009A3969">
        <w:t>,</w:t>
      </w:r>
      <w:r>
        <w:t xml:space="preserve"> </w:t>
      </w:r>
      <w:r w:rsidR="009A3969">
        <w:t xml:space="preserve">which would produce energy for Victoria, </w:t>
      </w:r>
      <w:r>
        <w:t>is planned for King Island</w:t>
      </w:r>
      <w:r w:rsidR="009A3969">
        <w:t>.</w:t>
      </w:r>
      <w:r>
        <w:t xml:space="preserve"> </w:t>
      </w:r>
      <w:r w:rsidR="009A3969">
        <w:t>However</w:t>
      </w:r>
      <w:r w:rsidR="00922167">
        <w:t>,</w:t>
      </w:r>
      <w:r w:rsidR="009A3969">
        <w:t xml:space="preserve"> the project </w:t>
      </w:r>
      <w:r>
        <w:t xml:space="preserve">is </w:t>
      </w:r>
      <w:r w:rsidR="00E47419">
        <w:t xml:space="preserve">yet to </w:t>
      </w:r>
      <w:r>
        <w:t>obtain social licence and</w:t>
      </w:r>
      <w:r w:rsidR="009A3969">
        <w:t xml:space="preserve"> the project </w:t>
      </w:r>
      <w:r w:rsidR="00E47419">
        <w:t xml:space="preserve">is unlikely to be </w:t>
      </w:r>
      <w:r w:rsidR="009A3969">
        <w:t>feasible if the</w:t>
      </w:r>
      <w:r>
        <w:t xml:space="preserve"> Renewable Energy Target program is downgraded</w:t>
      </w:r>
      <w:r w:rsidR="00E47419">
        <w:t xml:space="preserve"> or terminated.</w:t>
      </w:r>
      <w:r>
        <w:t xml:space="preserve"> </w:t>
      </w:r>
    </w:p>
    <w:p w14:paraId="2EC6B5A2" w14:textId="77777777" w:rsidR="00BF461F" w:rsidRDefault="00BF461F" w:rsidP="00C225A0">
      <w:pPr>
        <w:pStyle w:val="Sectorbodydotpoints"/>
        <w:jc w:val="left"/>
      </w:pPr>
      <w:r>
        <w:t>Significant small to mid-scale embedded and distributed generation for rural enterprises and communities</w:t>
      </w:r>
      <w:r w:rsidR="00DE4D8C">
        <w:t>.</w:t>
      </w:r>
    </w:p>
    <w:p w14:paraId="0B4A4BEF" w14:textId="77777777" w:rsidR="00D74FD4" w:rsidRDefault="00BF461F" w:rsidP="00E73CE6">
      <w:pPr>
        <w:pStyle w:val="Sectorbodydotpoints"/>
        <w:jc w:val="left"/>
      </w:pPr>
      <w:r>
        <w:t xml:space="preserve">Leverage the research and innovation capabilities and resources available through </w:t>
      </w:r>
      <w:r w:rsidR="00CA024E">
        <w:t>the University of Tasmania</w:t>
      </w:r>
      <w:r>
        <w:t xml:space="preserve"> and other Tasmanian</w:t>
      </w:r>
      <w:r w:rsidR="00DE4D8C">
        <w:t>-</w:t>
      </w:r>
      <w:r>
        <w:t>based research institutions</w:t>
      </w:r>
      <w:r w:rsidR="00DE4D8C">
        <w:t>,</w:t>
      </w:r>
      <w:r>
        <w:t xml:space="preserve"> and their national and global links</w:t>
      </w:r>
      <w:r w:rsidR="00DE4D8C">
        <w:t>.</w:t>
      </w:r>
      <w:r w:rsidR="00D74FD4">
        <w:t xml:space="preserve"> </w:t>
      </w:r>
    </w:p>
    <w:p w14:paraId="2EC6B5A4" w14:textId="30DCBA35" w:rsidR="00BF461F" w:rsidRDefault="00BF461F" w:rsidP="00E73CE6">
      <w:pPr>
        <w:pStyle w:val="Sectorbodydotpoints"/>
        <w:jc w:val="left"/>
      </w:pPr>
      <w:r>
        <w:t>Deploying intellectual property developed from research and innovation projects</w:t>
      </w:r>
      <w:r w:rsidR="00D74FD4">
        <w:t xml:space="preserve"> (such as</w:t>
      </w:r>
      <w:r w:rsidR="00562EB6">
        <w:t xml:space="preserve"> Hydro Tasmania’s King Island renewables integration project</w:t>
      </w:r>
      <w:r w:rsidR="00922167">
        <w:t>)</w:t>
      </w:r>
      <w:r w:rsidR="00562EB6">
        <w:t>.</w:t>
      </w:r>
    </w:p>
    <w:p w14:paraId="2EC6B5A5" w14:textId="3D97EB60" w:rsidR="00BF461F" w:rsidRDefault="00BF461F" w:rsidP="00C225A0">
      <w:pPr>
        <w:pStyle w:val="Sectorbodydotpoints"/>
        <w:jc w:val="left"/>
      </w:pPr>
      <w:r>
        <w:t>Increase the deployment of renewable energy enabled by a potentially ‘smarter’ electricity grid</w:t>
      </w:r>
      <w:r w:rsidR="008E25CC">
        <w:t xml:space="preserve">, where </w:t>
      </w:r>
      <w:r w:rsidR="00E47419">
        <w:t xml:space="preserve">generation and load requirements and network usage is closely optimised, through techniques such as </w:t>
      </w:r>
      <w:r w:rsidR="008E25CC">
        <w:t>demand-side management</w:t>
      </w:r>
      <w:r w:rsidR="00E47419">
        <w:t>.</w:t>
      </w:r>
    </w:p>
    <w:p w14:paraId="51D98044" w14:textId="035CD1E4" w:rsidR="00DF3D3B" w:rsidRDefault="00D74FD4" w:rsidP="00C225A0">
      <w:pPr>
        <w:pStyle w:val="Sectorbodydotpoints"/>
        <w:jc w:val="left"/>
      </w:pPr>
      <w:r>
        <w:t>There may be a m</w:t>
      </w:r>
      <w:r w:rsidR="00BF461F">
        <w:t>odest increase in demand for renewable electricity from electric vehicles</w:t>
      </w:r>
      <w:r w:rsidR="00D60D44">
        <w:t>.</w:t>
      </w:r>
    </w:p>
    <w:p w14:paraId="2EC6B5A8" w14:textId="4BD6B7D2" w:rsidR="00F91AA8" w:rsidRPr="00C00A5C" w:rsidRDefault="00E73CE6" w:rsidP="00DF3D3B">
      <w:pPr>
        <w:pStyle w:val="Sectorbody"/>
      </w:pPr>
      <w:r>
        <w:t>Potential</w:t>
      </w:r>
      <w:r w:rsidRPr="00C00A5C">
        <w:t xml:space="preserve"> </w:t>
      </w:r>
      <w:r w:rsidR="00F91AA8" w:rsidRPr="00C00A5C">
        <w:t xml:space="preserve">changes in the </w:t>
      </w:r>
      <w:r>
        <w:t xml:space="preserve">Commonwealth </w:t>
      </w:r>
      <w:r w:rsidR="00F91AA8" w:rsidRPr="00C00A5C">
        <w:t xml:space="preserve">Government’s approach to carbon pricing and the scaling back of financing incentives for renewable energy will impact on the growth of this sector in </w:t>
      </w:r>
      <w:r w:rsidRPr="00C00A5C">
        <w:t>Tasmania. It</w:t>
      </w:r>
      <w:r w:rsidR="00F91AA8" w:rsidRPr="00C00A5C">
        <w:t xml:space="preserve"> will be difficult for the Tasmanian Government to act alone in providing incentives for renewable energy uptake. </w:t>
      </w:r>
    </w:p>
    <w:p w14:paraId="2EC6B5A9" w14:textId="2A0225E7" w:rsidR="00F91AA8" w:rsidRPr="00C00A5C" w:rsidRDefault="00F91AA8" w:rsidP="00C225A0">
      <w:pPr>
        <w:pStyle w:val="Sectorbody"/>
        <w:jc w:val="left"/>
      </w:pPr>
      <w:r w:rsidRPr="00C00A5C">
        <w:t>In the short to medium</w:t>
      </w:r>
      <w:r w:rsidR="00DE4D8C">
        <w:t xml:space="preserve"> </w:t>
      </w:r>
      <w:r w:rsidRPr="00C00A5C">
        <w:t>term</w:t>
      </w:r>
      <w:r w:rsidR="00DE4D8C">
        <w:t xml:space="preserve">, </w:t>
      </w:r>
      <w:r w:rsidR="00DE4D8C" w:rsidRPr="00C00A5C">
        <w:t>commercially</w:t>
      </w:r>
      <w:r w:rsidR="00E73CE6">
        <w:t>-</w:t>
      </w:r>
      <w:r w:rsidRPr="00C00A5C">
        <w:t>viable renewable</w:t>
      </w:r>
      <w:r w:rsidR="00E73CE6">
        <w:t>-</w:t>
      </w:r>
      <w:r w:rsidRPr="00C00A5C">
        <w:t xml:space="preserve">energy development will generally favour the more ‘proven/mature’ renewable energy technologies at the lower end of the cost scale, including hydro and wind.  </w:t>
      </w:r>
    </w:p>
    <w:p w14:paraId="2EC6B5AA" w14:textId="2F74C58B" w:rsidR="00F91AA8" w:rsidRPr="00C00A5C" w:rsidRDefault="00F91AA8" w:rsidP="00C225A0">
      <w:pPr>
        <w:pStyle w:val="Sectorbody"/>
        <w:jc w:val="left"/>
      </w:pPr>
      <w:r w:rsidRPr="00C00A5C">
        <w:t>In the longer term, a second electricity interconnector may become viable and electricity generation technology may mature to a level of reliability</w:t>
      </w:r>
      <w:r w:rsidR="00DE4D8C">
        <w:t xml:space="preserve">, </w:t>
      </w:r>
      <w:r w:rsidRPr="00C00A5C">
        <w:t>at a price that enables the conversion of ocean, geothermal and bio</w:t>
      </w:r>
      <w:r w:rsidRPr="00C00A5C">
        <w:noBreakHyphen/>
        <w:t>energy resources into safe, secure and commercially</w:t>
      </w:r>
      <w:r w:rsidR="00E73CE6">
        <w:t>-</w:t>
      </w:r>
      <w:r w:rsidRPr="00C00A5C">
        <w:t>viable quantities of renewable power.</w:t>
      </w:r>
    </w:p>
    <w:p w14:paraId="2EC6B5AB" w14:textId="14830F9B" w:rsidR="00C00A5C" w:rsidRDefault="00F91AA8" w:rsidP="000178B0">
      <w:pPr>
        <w:pStyle w:val="Sectorbody"/>
        <w:spacing w:after="0"/>
        <w:jc w:val="left"/>
      </w:pPr>
      <w:r w:rsidRPr="00C00A5C">
        <w:t>Tasmania also has the potential to sell intellectual property developed from knowledge and innovation projects. Early opportunities include the application of learning from the King Island Renewable Energy Integration Project to power generation solutions for remote communities in Australia and overseas.</w:t>
      </w:r>
    </w:p>
    <w:p w14:paraId="6E4D7080" w14:textId="750918D9" w:rsidR="000178B0" w:rsidRDefault="000178B0" w:rsidP="000178B0">
      <w:pPr>
        <w:pStyle w:val="Sectorbody"/>
        <w:spacing w:before="0" w:after="0"/>
        <w:jc w:val="left"/>
      </w:pPr>
      <w:r>
        <w:rPr>
          <w:noProof/>
          <w:lang w:eastAsia="en-AU"/>
        </w:rPr>
        <mc:AlternateContent>
          <mc:Choice Requires="wpg">
            <w:drawing>
              <wp:anchor distT="0" distB="0" distL="114300" distR="114300" simplePos="0" relativeHeight="251660288" behindDoc="0" locked="0" layoutInCell="1" allowOverlap="1" wp14:anchorId="0E2C1519" wp14:editId="0479BA79">
                <wp:simplePos x="0" y="0"/>
                <wp:positionH relativeFrom="column">
                  <wp:posOffset>-262890</wp:posOffset>
                </wp:positionH>
                <wp:positionV relativeFrom="paragraph">
                  <wp:posOffset>159385</wp:posOffset>
                </wp:positionV>
                <wp:extent cx="6677025" cy="276225"/>
                <wp:effectExtent l="0" t="0" r="9525" b="0"/>
                <wp:wrapNone/>
                <wp:docPr id="4" name="Group 4"/>
                <wp:cNvGraphicFramePr/>
                <a:graphic xmlns:a="http://schemas.openxmlformats.org/drawingml/2006/main">
                  <a:graphicData uri="http://schemas.microsoft.com/office/word/2010/wordprocessingGroup">
                    <wpg:wgp>
                      <wpg:cNvGrpSpPr/>
                      <wpg:grpSpPr>
                        <a:xfrm>
                          <a:off x="0" y="0"/>
                          <a:ext cx="6677025" cy="276225"/>
                          <a:chOff x="-7799" y="0"/>
                          <a:chExt cx="6551722" cy="278296"/>
                        </a:xfrm>
                      </wpg:grpSpPr>
                      <wps:wsp>
                        <wps:cNvPr id="7" name="Rectangle 7"/>
                        <wps:cNvSpPr/>
                        <wps:spPr>
                          <a:xfrm>
                            <a:off x="0" y="23854"/>
                            <a:ext cx="6543923" cy="198783"/>
                          </a:xfrm>
                          <a:prstGeom prst="rect">
                            <a:avLst/>
                          </a:prstGeom>
                          <a:gradFill>
                            <a:gsLst>
                              <a:gs pos="50000">
                                <a:srgbClr val="C5DDC7"/>
                              </a:gs>
                              <a:gs pos="100000">
                                <a:schemeClr val="accent3">
                                  <a:lumMod val="20000"/>
                                  <a:lumOff val="8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7799" y="0"/>
                            <a:ext cx="2552369" cy="278296"/>
                          </a:xfrm>
                          <a:prstGeom prst="rect">
                            <a:avLst/>
                          </a:prstGeom>
                          <a:noFill/>
                          <a:ln w="9525">
                            <a:noFill/>
                            <a:miter lim="800000"/>
                            <a:headEnd/>
                            <a:tailEnd/>
                          </a:ln>
                        </wps:spPr>
                        <wps:txbx>
                          <w:txbxContent>
                            <w:p w14:paraId="40C5F8E4" w14:textId="0A0FBA60" w:rsidR="00E043F8" w:rsidRPr="0058406A" w:rsidRDefault="00E043F8" w:rsidP="000178B0">
                              <w:pPr>
                                <w:spacing w:after="0"/>
                                <w:rPr>
                                  <w:rFonts w:ascii="Gill Sans MT" w:hAnsi="Gill Sans MT"/>
                                  <w:b/>
                                </w:rPr>
                              </w:pPr>
                              <w:r>
                                <w:rPr>
                                  <w:rFonts w:ascii="Gill Sans MT" w:hAnsi="Gill Sans MT"/>
                                  <w:b/>
                                </w:rPr>
                                <w:t>Strategy Summary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2C1519" id="Group 4" o:spid="_x0000_s1026" style="position:absolute;left:0;text-align:left;margin-left:-20.7pt;margin-top:12.55pt;width:525.75pt;height:21.75pt;z-index:251660288;mso-width-relative:margin" coordorigin="-77" coordsize="6551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">
                <v:rect id="Rectangle 7" o:spid="_x0000_s1027" style="position:absolute;top:238;width:65439;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HsMA&#10;AADaAAAADwAAAGRycy9kb3ducmV2LnhtbESPQWvCQBSE7wX/w/IEb3WjhVZSVzHBiKdStRR6e2Rf&#10;NsHs25Ddxvjvu4VCj8PMfMOst6NtxUC9bxwrWMwTEMSl0w0bBR+X4nEFwgdkja1jUnAnD9vN5GGN&#10;qXY3PtFwDkZECPsUFdQhdKmUvqzJop+7jjh6lesthih7I3WPtwi3rVwmybO02HBcqLGjvKbyev62&#10;Cj7d++gMZ3TIn2hXfL1VmdlXSs2m4+4VRKAx/If/2ket4AV+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LGHsMAAADaAAAADwAAAAAAAAAAAAAAAACYAgAAZHJzL2Rv&#10;d25yZXYueG1sUEsFBgAAAAAEAAQA9QAAAIgDAAAAAA==&#10;" fillcolor="#c5ddc7" stroked="f" strokeweight="2pt">
                  <v:fill color2="#eaf1dd [662]" angle="90" colors="0 #c5ddc7;.5 #c5ddc7" focus="100%" type="gradient"/>
                </v:rect>
                <v:shapetype id="_x0000_t202" coordsize="21600,21600" o:spt="202" path="m,l,21600r21600,l21600,xe">
                  <v:stroke joinstyle="miter"/>
                  <v:path gradientshapeok="t" o:connecttype="rect"/>
                </v:shapetype>
                <v:shape id="_x0000_s1028" type="#_x0000_t202" style="position:absolute;left:-77;width:2552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40C5F8E4" w14:textId="0A0FBA60" w:rsidR="00E043F8" w:rsidRPr="0058406A" w:rsidRDefault="00E043F8" w:rsidP="000178B0">
                        <w:pPr>
                          <w:spacing w:after="0"/>
                          <w:rPr>
                            <w:rFonts w:ascii="Gill Sans MT" w:hAnsi="Gill Sans MT"/>
                            <w:b/>
                          </w:rPr>
                        </w:pPr>
                        <w:r>
                          <w:rPr>
                            <w:rFonts w:ascii="Gill Sans MT" w:hAnsi="Gill Sans MT"/>
                            <w:b/>
                          </w:rPr>
                          <w:t>Strategy Summary</w:t>
                        </w:r>
                      </w:p>
                    </w:txbxContent>
                  </v:textbox>
                </v:shape>
              </v:group>
            </w:pict>
          </mc:Fallback>
        </mc:AlternateContent>
      </w:r>
    </w:p>
    <w:p w14:paraId="2BE1CD9F" w14:textId="457A0470" w:rsidR="000178B0" w:rsidRDefault="000178B0" w:rsidP="000178B0">
      <w:pPr>
        <w:pStyle w:val="Sectorbody"/>
        <w:spacing w:before="0" w:after="240"/>
        <w:jc w:val="left"/>
      </w:pPr>
    </w:p>
    <w:p w14:paraId="2EC6B5AC" w14:textId="77777777" w:rsidR="00C00A5C" w:rsidRDefault="00C00A5C" w:rsidP="004807E5">
      <w:pPr>
        <w:pStyle w:val="Heading2"/>
        <w:spacing w:before="360"/>
        <w:jc w:val="left"/>
      </w:pPr>
      <w:r>
        <w:t xml:space="preserve">Discussion of </w:t>
      </w:r>
      <w:r w:rsidR="0086322E">
        <w:t xml:space="preserve">Tasmanian </w:t>
      </w:r>
      <w:r>
        <w:t>Government strategies</w:t>
      </w:r>
    </w:p>
    <w:p w14:paraId="6F364986" w14:textId="77777777" w:rsidR="004807E5" w:rsidRDefault="00E73CE6" w:rsidP="004807E5">
      <w:pPr>
        <w:pStyle w:val="Sectorbody"/>
        <w:jc w:val="left"/>
        <w:sectPr w:rsidR="004807E5" w:rsidSect="009F7A61">
          <w:headerReference w:type="default" r:id="rId16"/>
          <w:footerReference w:type="default" r:id="rId17"/>
          <w:pgSz w:w="11906" w:h="16838"/>
          <w:pgMar w:top="675" w:right="849" w:bottom="1440" w:left="1134" w:header="708" w:footer="708" w:gutter="0"/>
          <w:cols w:space="708"/>
          <w:docGrid w:linePitch="360"/>
        </w:sectPr>
      </w:pPr>
      <w:r>
        <w:t xml:space="preserve">In </w:t>
      </w:r>
      <w:r w:rsidR="00C00A5C">
        <w:t>2013</w:t>
      </w:r>
      <w:r w:rsidR="00785368">
        <w:t>,</w:t>
      </w:r>
      <w:r w:rsidR="00C00A5C">
        <w:t xml:space="preserve"> the </w:t>
      </w:r>
      <w:r w:rsidR="00785368">
        <w:t xml:space="preserve">Tasmanian </w:t>
      </w:r>
      <w:r w:rsidR="00C00A5C">
        <w:t xml:space="preserve">Government </w:t>
      </w:r>
      <w:r>
        <w:t>evaluated</w:t>
      </w:r>
      <w:r w:rsidR="00C00A5C">
        <w:t xml:space="preserve"> the potential of biomass resources as a source of renewable energy. The first project examined was the production of ethanol from wood residues, but this was shown to </w:t>
      </w:r>
      <w:r w:rsidR="00761760">
        <w:t xml:space="preserve">not currently </w:t>
      </w:r>
      <w:r w:rsidR="00C00A5C">
        <w:t>be commercial</w:t>
      </w:r>
      <w:r w:rsidR="00761760">
        <w:t>ly viable</w:t>
      </w:r>
      <w:r w:rsidR="00C00A5C">
        <w:t>. The study has since examined the merits o</w:t>
      </w:r>
      <w:r w:rsidR="00761760">
        <w:t>f</w:t>
      </w:r>
      <w:r w:rsidR="00C00A5C">
        <w:t xml:space="preserve"> the production of wood pellets from sawmill residues. Pellets are widely used in Europe as a source of fuel for district heating</w:t>
      </w:r>
      <w:r w:rsidR="00761760">
        <w:t>,</w:t>
      </w:r>
      <w:r w:rsidR="00C00A5C">
        <w:t xml:space="preserve"> where hot water is piped around a closely</w:t>
      </w:r>
      <w:r>
        <w:t>-</w:t>
      </w:r>
      <w:r w:rsidR="00C00A5C">
        <w:t xml:space="preserve">settled township. </w:t>
      </w:r>
      <w:r w:rsidR="00562EB6">
        <w:t>The feasibility of heating municipal swimming pools using sophisticated European wood-fired boilers is being investigated. Heating pools using electricity has become a heavy burden on council finances. The merits of heating hospitals and nursing homes with wood-energy in regional areas is also being examined.</w:t>
      </w:r>
    </w:p>
    <w:p w14:paraId="3A2C4760" w14:textId="4017E198" w:rsidR="004807E5" w:rsidRDefault="004807E5" w:rsidP="004807E5">
      <w:pPr>
        <w:pStyle w:val="Sectorbody"/>
        <w:jc w:val="left"/>
      </w:pPr>
    </w:p>
    <w:p w14:paraId="2EC6B5AE" w14:textId="6E07BEB6" w:rsidR="00C00A5C" w:rsidRDefault="00C00A5C" w:rsidP="00C225A0">
      <w:pPr>
        <w:pStyle w:val="Sectorbody"/>
        <w:jc w:val="left"/>
      </w:pPr>
      <w:r>
        <w:t>Other forms of bio-energy</w:t>
      </w:r>
      <w:r w:rsidR="00761760">
        <w:t>,</w:t>
      </w:r>
      <w:r>
        <w:t xml:space="preserve"> such as the production of biogas from anaerobic digesters </w:t>
      </w:r>
      <w:r w:rsidR="00761760">
        <w:t xml:space="preserve">that </w:t>
      </w:r>
      <w:r>
        <w:t>treat waste from industries such as fish processors</w:t>
      </w:r>
      <w:r w:rsidR="00761760">
        <w:t>,</w:t>
      </w:r>
      <w:r>
        <w:t xml:space="preserve"> also ha</w:t>
      </w:r>
      <w:r w:rsidR="00761760">
        <w:t>ve</w:t>
      </w:r>
      <w:r>
        <w:t xml:space="preserve"> potential in Tasmania. </w:t>
      </w:r>
      <w:r w:rsidR="00761760">
        <w:t>A</w:t>
      </w:r>
      <w:r>
        <w:t xml:space="preserve">t a number of its water and sewerage treatment plants, </w:t>
      </w:r>
      <w:r w:rsidR="00761760">
        <w:t xml:space="preserve">TasWater </w:t>
      </w:r>
      <w:r>
        <w:t xml:space="preserve">is increasingly capturing biogas from its facilities, generating electricity for its own use and exporting into the grid. It is expected </w:t>
      </w:r>
      <w:r w:rsidR="00761760">
        <w:t xml:space="preserve">that such </w:t>
      </w:r>
      <w:r>
        <w:t>niche applications of renewable energy will be more widely adopted.</w:t>
      </w:r>
    </w:p>
    <w:p w14:paraId="2EC6B5B0" w14:textId="6991FA22" w:rsidR="00C00A5C" w:rsidRDefault="00E73CE6" w:rsidP="00C225A0">
      <w:pPr>
        <w:pStyle w:val="Sectorbody"/>
        <w:jc w:val="left"/>
      </w:pPr>
      <w:r>
        <w:t>If</w:t>
      </w:r>
      <w:r w:rsidR="00C00A5C">
        <w:t xml:space="preserve"> the carbon-pricing mechanism</w:t>
      </w:r>
      <w:r>
        <w:t xml:space="preserve"> were abolished</w:t>
      </w:r>
      <w:r w:rsidR="00C00A5C">
        <w:t xml:space="preserve">, the previous positive outlook for renewable energy in Australia </w:t>
      </w:r>
      <w:r>
        <w:t>would be</w:t>
      </w:r>
      <w:r w:rsidR="00C00A5C">
        <w:t xml:space="preserve"> moderated. The </w:t>
      </w:r>
      <w:r w:rsidR="00761760">
        <w:t xml:space="preserve">national </w:t>
      </w:r>
      <w:r w:rsidR="00C00A5C">
        <w:t>policy agenda, and the uncertainty over the RET program is likely to make the financing of utility</w:t>
      </w:r>
      <w:r w:rsidR="00761760">
        <w:t>-</w:t>
      </w:r>
      <w:r w:rsidR="00C00A5C">
        <w:t>scale renewable energy developments more difficult to achieve.</w:t>
      </w:r>
    </w:p>
    <w:p w14:paraId="5D0C1103" w14:textId="09635320" w:rsidR="000178B0" w:rsidRDefault="00C00A5C" w:rsidP="00761760">
      <w:pPr>
        <w:pStyle w:val="Sectorbody"/>
      </w:pPr>
      <w:r>
        <w:t>In Tasmania, facilitation will be given to small</w:t>
      </w:r>
      <w:r w:rsidR="00457FE7">
        <w:t>,</w:t>
      </w:r>
      <w:r>
        <w:t xml:space="preserve"> to mid-scale embedded renewable generation. This is likely to </w:t>
      </w:r>
      <w:r w:rsidR="00761760">
        <w:t xml:space="preserve">remain </w:t>
      </w:r>
      <w:r>
        <w:t xml:space="preserve">an attractive opportunity for businesses that can offset their electricity bills by generating power </w:t>
      </w:r>
      <w:r w:rsidR="00761760">
        <w:t>‘</w:t>
      </w:r>
      <w:r>
        <w:t>behind the meter</w:t>
      </w:r>
      <w:r w:rsidR="00761760">
        <w:t>’</w:t>
      </w:r>
      <w:r>
        <w:t>. Nichols Poultry’s wind generation is the exemplar project using this approach</w:t>
      </w:r>
      <w:r w:rsidR="00761760">
        <w:t>.</w:t>
      </w:r>
    </w:p>
    <w:p w14:paraId="2EC6B5B2" w14:textId="77777777" w:rsidR="0064080F" w:rsidRPr="006A30A4" w:rsidRDefault="0064080F" w:rsidP="0064080F">
      <w:pPr>
        <w:pStyle w:val="Sectorbody"/>
        <w:spacing w:after="120"/>
      </w:pPr>
      <w:r>
        <w:t xml:space="preserve">Examples of </w:t>
      </w:r>
      <w:r w:rsidR="00C610BB">
        <w:t xml:space="preserve">the Tasmanian Government’s </w:t>
      </w:r>
      <w:r w:rsidRPr="006A30A4">
        <w:t>strategies for the industry</w:t>
      </w:r>
      <w:r>
        <w:t>:</w:t>
      </w:r>
    </w:p>
    <w:p w14:paraId="2EC6B5B5" w14:textId="62D31740" w:rsidR="00C00A5C" w:rsidRDefault="005B7873" w:rsidP="00B327E3">
      <w:pPr>
        <w:pStyle w:val="Sectorbody"/>
        <w:numPr>
          <w:ilvl w:val="0"/>
          <w:numId w:val="3"/>
        </w:numPr>
        <w:spacing w:after="120"/>
        <w:ind w:left="431" w:hanging="357"/>
        <w:jc w:val="left"/>
      </w:pPr>
      <w:r>
        <w:t>W</w:t>
      </w:r>
      <w:r w:rsidR="00C00A5C">
        <w:t>ork with regulators and electricity businesses to deliver greater clarity, transparency and fairness in the contractual arrangements between embedded generators and electricity network and retail businesses</w:t>
      </w:r>
      <w:r>
        <w:t>.</w:t>
      </w:r>
    </w:p>
    <w:p w14:paraId="4F109B74" w14:textId="62A62FB3" w:rsidR="00DF3D3B" w:rsidRDefault="005B7873" w:rsidP="00C225A0">
      <w:pPr>
        <w:pStyle w:val="Sectorbodydotpoints"/>
        <w:jc w:val="left"/>
      </w:pPr>
      <w:r>
        <w:t>F</w:t>
      </w:r>
      <w:r w:rsidR="00C00A5C">
        <w:t>acilitate development of distributed</w:t>
      </w:r>
      <w:r w:rsidR="00902284">
        <w:t xml:space="preserve"> and </w:t>
      </w:r>
      <w:r w:rsidR="00C00A5C">
        <w:t>embedded generation projects including wind, mini-hydro and biomass technologies in particular</w:t>
      </w:r>
      <w:r>
        <w:t>.</w:t>
      </w:r>
    </w:p>
    <w:p w14:paraId="2EC6B5B8" w14:textId="4B2882E3" w:rsidR="00C00A5C" w:rsidRDefault="00C00A5C" w:rsidP="009A3969">
      <w:pPr>
        <w:pStyle w:val="Sectorbody"/>
        <w:spacing w:before="360" w:after="200"/>
      </w:pPr>
      <w:r>
        <w:t>Promoting Renewable Energy Research, Development and Demonstration</w:t>
      </w:r>
      <w:r w:rsidR="00C610BB">
        <w:t>:</w:t>
      </w:r>
    </w:p>
    <w:p w14:paraId="2EC6B5B9" w14:textId="12281B01" w:rsidR="00C00A5C" w:rsidRPr="009F7A61" w:rsidRDefault="00C00A5C" w:rsidP="00C225A0">
      <w:pPr>
        <w:pStyle w:val="Sectorbodydotpoints"/>
        <w:jc w:val="left"/>
      </w:pPr>
      <w:r w:rsidRPr="009F7A61">
        <w:t xml:space="preserve">Hydro Tasmania’s $40.9 million, three-year program of renewable energy development and innovation projects on King Island </w:t>
      </w:r>
      <w:r w:rsidR="00562EB6">
        <w:t xml:space="preserve">was </w:t>
      </w:r>
      <w:r w:rsidRPr="009F7A61">
        <w:t xml:space="preserve">completed </w:t>
      </w:r>
      <w:r w:rsidR="00562EB6">
        <w:t xml:space="preserve">in </w:t>
      </w:r>
      <w:r w:rsidRPr="009F7A61">
        <w:t>2013. The project is successfully delivering on its objectives.</w:t>
      </w:r>
    </w:p>
    <w:p w14:paraId="2EC6B5BA" w14:textId="1EE04C3D" w:rsidR="00C00A5C" w:rsidRPr="009F7A61" w:rsidRDefault="005B7873" w:rsidP="00C225A0">
      <w:pPr>
        <w:pStyle w:val="Sectorbodydotpoints"/>
        <w:jc w:val="left"/>
      </w:pPr>
      <w:r>
        <w:t>C</w:t>
      </w:r>
      <w:r w:rsidR="00C00A5C" w:rsidRPr="009F7A61">
        <w:t>ontinue to pursue options for funding Hydro Tasmania’s proposed $2 million King Island Renewable Energy Centre of Excellence</w:t>
      </w:r>
      <w:r w:rsidR="00922167">
        <w:t>.</w:t>
      </w:r>
    </w:p>
    <w:p w14:paraId="2EC6B5BB" w14:textId="5BB0584C" w:rsidR="00C00A5C" w:rsidRPr="009F7A61" w:rsidRDefault="005B7873" w:rsidP="00C225A0">
      <w:pPr>
        <w:pStyle w:val="Sectorbodydotpoints"/>
        <w:jc w:val="left"/>
      </w:pPr>
      <w:r>
        <w:t>C</w:t>
      </w:r>
      <w:r w:rsidR="00C00A5C" w:rsidRPr="009F7A61">
        <w:t xml:space="preserve">ontinue efforts to secure public or private funding for Hydro Tasmania’s proposal for up to </w:t>
      </w:r>
      <w:r>
        <w:br/>
      </w:r>
      <w:r w:rsidR="00C00A5C" w:rsidRPr="009F7A61">
        <w:t>$12 million of renewable energy projects and related power system technologies on Flinders Island</w:t>
      </w:r>
      <w:r>
        <w:t>.</w:t>
      </w:r>
    </w:p>
    <w:p w14:paraId="2EC6B5BC" w14:textId="17385525" w:rsidR="00C00A5C" w:rsidRPr="009F7A61" w:rsidRDefault="00C00A5C" w:rsidP="00C225A0">
      <w:pPr>
        <w:pStyle w:val="Sectorbodydotpoints"/>
        <w:jc w:val="left"/>
      </w:pPr>
      <w:r w:rsidRPr="009F7A61">
        <w:t xml:space="preserve">Renewable energy based on Tasmania’s endowment of residues </w:t>
      </w:r>
      <w:r w:rsidR="00902284">
        <w:t>from</w:t>
      </w:r>
      <w:r w:rsidR="00902284" w:rsidRPr="009F7A61">
        <w:t xml:space="preserve"> </w:t>
      </w:r>
      <w:r w:rsidRPr="009F7A61">
        <w:t>the agriculture and forestry industries.</w:t>
      </w:r>
    </w:p>
    <w:p w14:paraId="2EC6B5BD" w14:textId="3ED3D926" w:rsidR="000E4476" w:rsidRPr="009F7A61" w:rsidRDefault="005B7873" w:rsidP="00C225A0">
      <w:pPr>
        <w:pStyle w:val="Sectorbodydotpoints"/>
        <w:jc w:val="left"/>
      </w:pPr>
      <w:r>
        <w:t>A</w:t>
      </w:r>
      <w:r w:rsidR="00C00A5C" w:rsidRPr="009F7A61">
        <w:t>ttract invest</w:t>
      </w:r>
      <w:bookmarkStart w:id="0" w:name="_GoBack"/>
      <w:bookmarkEnd w:id="0"/>
      <w:r w:rsidR="00C00A5C" w:rsidRPr="009F7A61">
        <w:t>ment in projects that use or derive value from our renewable energy sources</w:t>
      </w:r>
      <w:r>
        <w:t>.</w:t>
      </w:r>
    </w:p>
    <w:sectPr w:rsidR="000E4476" w:rsidRPr="009F7A61" w:rsidSect="009F7A61">
      <w:headerReference w:type="default" r:id="rId18"/>
      <w:pgSz w:w="11906" w:h="16838"/>
      <w:pgMar w:top="675" w:right="849"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CEF0C" w14:textId="77777777" w:rsidR="00103B35" w:rsidRDefault="00103B35" w:rsidP="00C167E3">
      <w:pPr>
        <w:spacing w:after="0" w:line="240" w:lineRule="auto"/>
      </w:pPr>
      <w:r>
        <w:separator/>
      </w:r>
    </w:p>
  </w:endnote>
  <w:endnote w:type="continuationSeparator" w:id="0">
    <w:p w14:paraId="73BE4B33" w14:textId="77777777" w:rsidR="00103B35" w:rsidRDefault="00103B35" w:rsidP="00C1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B5C9" w14:textId="77777777" w:rsidR="00E043F8" w:rsidRDefault="00E043F8">
    <w:pPr>
      <w:pStyle w:val="Footer"/>
    </w:pPr>
    <w:r>
      <w:rPr>
        <w:b/>
        <w:noProof/>
        <w:lang w:eastAsia="en-AU"/>
      </w:rPr>
      <mc:AlternateContent>
        <mc:Choice Requires="wps">
          <w:drawing>
            <wp:anchor distT="0" distB="0" distL="114300" distR="114300" simplePos="0" relativeHeight="251680768" behindDoc="1" locked="0" layoutInCell="1" allowOverlap="1" wp14:anchorId="2EC6B5DB" wp14:editId="2EC6B5DC">
              <wp:simplePos x="0" y="0"/>
              <wp:positionH relativeFrom="column">
                <wp:posOffset>-1981200</wp:posOffset>
              </wp:positionH>
              <wp:positionV relativeFrom="paragraph">
                <wp:posOffset>-16206</wp:posOffset>
              </wp:positionV>
              <wp:extent cx="10853420" cy="4446270"/>
              <wp:effectExtent l="0" t="0" r="508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3420" cy="4446270"/>
                      </a:xfrm>
                      <a:prstGeom prst="rect">
                        <a:avLst/>
                      </a:prstGeom>
                      <a:gradFill>
                        <a:gsLst>
                          <a:gs pos="50000">
                            <a:srgbClr val="C5DDC7"/>
                          </a:gs>
                          <a:gs pos="100000">
                            <a:schemeClr val="bg1"/>
                          </a:gs>
                        </a:gsLst>
                        <a:lin ang="0" scaled="1"/>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C37D" id="Rectangle 6" o:spid="_x0000_s1026" style="position:absolute;margin-left:-156pt;margin-top:-1.3pt;width:854.6pt;height:350.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" fillcolor="#c5ddc7" stroked="f">
              <v:fill color2="white [3212]" angle="90" colors="0 #c5ddc7;.5 #c5ddc7" focus="100%" type="gradient"/>
            </v:rect>
          </w:pict>
        </mc:Fallback>
      </mc:AlternateContent>
    </w: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84692"/>
      <w:docPartObj>
        <w:docPartGallery w:val="Page Numbers (Bottom of Page)"/>
        <w:docPartUnique/>
      </w:docPartObj>
    </w:sdtPr>
    <w:sdtEndPr>
      <w:rPr>
        <w:noProof/>
      </w:rPr>
    </w:sdtEndPr>
    <w:sdtContent>
      <w:p w14:paraId="2B88B800" w14:textId="49F9170E" w:rsidR="00E043F8" w:rsidRDefault="006F4634">
        <w:pPr>
          <w:pStyle w:val="Footer"/>
        </w:pPr>
        <w:r>
          <w:rPr>
            <w:b/>
            <w:noProof/>
            <w:lang w:eastAsia="en-AU"/>
          </w:rPr>
          <mc:AlternateContent>
            <mc:Choice Requires="wps">
              <w:drawing>
                <wp:anchor distT="0" distB="0" distL="114300" distR="114300" simplePos="0" relativeHeight="251702272" behindDoc="1" locked="0" layoutInCell="1" allowOverlap="1" wp14:anchorId="06149BBB" wp14:editId="4C9319AB">
                  <wp:simplePos x="0" y="0"/>
                  <wp:positionH relativeFrom="page">
                    <wp:posOffset>-133350</wp:posOffset>
                  </wp:positionH>
                  <wp:positionV relativeFrom="paragraph">
                    <wp:posOffset>5715</wp:posOffset>
                  </wp:positionV>
                  <wp:extent cx="7696200" cy="2988945"/>
                  <wp:effectExtent l="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0" cy="2988945"/>
                          </a:xfrm>
                          <a:prstGeom prst="rect">
                            <a:avLst/>
                          </a:prstGeom>
                          <a:gradFill>
                            <a:gsLst>
                              <a:gs pos="50000">
                                <a:srgbClr val="C5DDC7"/>
                              </a:gs>
                              <a:gs pos="100000">
                                <a:schemeClr val="bg1"/>
                              </a:gs>
                            </a:gsLst>
                            <a:lin ang="0" scaled="1"/>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D201" id="Rectangle 18" o:spid="_x0000_s1026" style="position:absolute;margin-left:-10.5pt;margin-top:.45pt;width:606pt;height:235.3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" fillcolor="#c5ddc7" stroked="f">
                  <v:fill color2="white [3212]" angle="90" colors="0 #c5ddc7;.5 #c5ddc7" focus="100%" type="gradient"/>
                  <w10:wrap anchorx="page"/>
                </v:rect>
              </w:pict>
            </mc:Fallback>
          </mc:AlternateContent>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9ABD" w14:textId="77777777" w:rsidR="00103B35" w:rsidRDefault="00103B35" w:rsidP="00C167E3">
      <w:pPr>
        <w:spacing w:after="0" w:line="240" w:lineRule="auto"/>
      </w:pPr>
      <w:r>
        <w:separator/>
      </w:r>
    </w:p>
  </w:footnote>
  <w:footnote w:type="continuationSeparator" w:id="0">
    <w:p w14:paraId="3CA6A7ED" w14:textId="77777777" w:rsidR="00103B35" w:rsidRDefault="00103B35" w:rsidP="00C1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B5C7" w14:textId="77777777" w:rsidR="00E043F8" w:rsidRDefault="00E043F8">
    <w:pPr>
      <w:pStyle w:val="Header"/>
    </w:pPr>
    <w:r>
      <w:rPr>
        <w:noProof/>
        <w:lang w:eastAsia="en-AU"/>
      </w:rPr>
      <mc:AlternateContent>
        <mc:Choice Requires="wps">
          <w:drawing>
            <wp:anchor distT="0" distB="0" distL="114300" distR="114300" simplePos="0" relativeHeight="251692032" behindDoc="0" locked="0" layoutInCell="1" allowOverlap="1" wp14:anchorId="2EC6B5CF" wp14:editId="2EC6B5D0">
              <wp:simplePos x="0" y="0"/>
              <wp:positionH relativeFrom="column">
                <wp:posOffset>2514600</wp:posOffset>
              </wp:positionH>
              <wp:positionV relativeFrom="paragraph">
                <wp:posOffset>-167336</wp:posOffset>
              </wp:positionV>
              <wp:extent cx="3677920" cy="519430"/>
              <wp:effectExtent l="0" t="0" r="1778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5194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C6B5E5" w14:textId="77777777" w:rsidR="00E043F8" w:rsidRDefault="00E043F8" w:rsidP="003E3BF6">
                          <w:pPr>
                            <w:jc w:val="right"/>
                            <w:rPr>
                              <w:rFonts w:ascii="Gill Sans MT" w:hAnsi="Gill Sans MT"/>
                              <w:sz w:val="30"/>
                              <w:szCs w:val="30"/>
                            </w:rPr>
                          </w:pPr>
                          <w:r>
                            <w:rPr>
                              <w:rFonts w:ascii="Gill Sans MT" w:hAnsi="Gill Sans MT"/>
                              <w:sz w:val="30"/>
                              <w:szCs w:val="30"/>
                            </w:rPr>
                            <w:t>Sector summary 2014</w:t>
                          </w:r>
                        </w:p>
                      </w:txbxContent>
                    </wps:txbx>
                    <wps:bodyPr rot="0" vert="horz" wrap="square" lIns="91440" tIns="45720" rIns="0" bIns="45720" anchor="t" anchorCtr="0" upright="1">
                      <a:noAutofit/>
                    </wps:bodyPr>
                  </wps:wsp>
                </a:graphicData>
              </a:graphic>
            </wp:anchor>
          </w:drawing>
        </mc:Choice>
        <mc:Fallback>
          <w:pict>
            <v:shapetype w14:anchorId="2EC6B5CF" id="_x0000_t202" coordsize="21600,21600" o:spt="202" path="m,l,21600r21600,l21600,xe">
              <v:stroke joinstyle="miter"/>
              <v:path gradientshapeok="t" o:connecttype="rect"/>
            </v:shapetype>
            <v:shape id="Text Box 2" o:spid="_x0000_s1029" type="#_x0000_t202" style="position:absolute;margin-left:198pt;margin-top:-13.2pt;width:289.6pt;height:40.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" filled="f" stroked="f">
              <v:textbox inset=",,0">
                <w:txbxContent>
                  <w:p w14:paraId="2EC6B5E5" w14:textId="77777777" w:rsidR="00E043F8" w:rsidRDefault="00E043F8" w:rsidP="003E3BF6">
                    <w:pPr>
                      <w:jc w:val="right"/>
                      <w:rPr>
                        <w:rFonts w:ascii="Gill Sans MT" w:hAnsi="Gill Sans MT"/>
                        <w:sz w:val="30"/>
                        <w:szCs w:val="30"/>
                      </w:rPr>
                    </w:pPr>
                    <w:r>
                      <w:rPr>
                        <w:rFonts w:ascii="Gill Sans MT" w:hAnsi="Gill Sans MT"/>
                        <w:sz w:val="30"/>
                        <w:szCs w:val="30"/>
                      </w:rPr>
                      <w:t>Sector summary 2014</w:t>
                    </w:r>
                  </w:p>
                </w:txbxContent>
              </v:textbox>
            </v:shape>
          </w:pict>
        </mc:Fallback>
      </mc:AlternateContent>
    </w:r>
    <w:r>
      <w:rPr>
        <w:noProof/>
        <w:lang w:eastAsia="en-AU"/>
      </w:rPr>
      <mc:AlternateContent>
        <mc:Choice Requires="wps">
          <w:drawing>
            <wp:anchor distT="0" distB="0" distL="114300" distR="114300" simplePos="0" relativeHeight="251689984" behindDoc="0" locked="0" layoutInCell="1" allowOverlap="1" wp14:anchorId="2EC6B5D1" wp14:editId="2EC6B5D2">
              <wp:simplePos x="0" y="0"/>
              <wp:positionH relativeFrom="column">
                <wp:posOffset>-476885</wp:posOffset>
              </wp:positionH>
              <wp:positionV relativeFrom="paragraph">
                <wp:posOffset>1512901</wp:posOffset>
              </wp:positionV>
              <wp:extent cx="6718852" cy="47707"/>
              <wp:effectExtent l="0" t="0" r="25400" b="28575"/>
              <wp:wrapNone/>
              <wp:docPr id="21" name="Rectangle 21"/>
              <wp:cNvGraphicFramePr/>
              <a:graphic xmlns:a="http://schemas.openxmlformats.org/drawingml/2006/main">
                <a:graphicData uri="http://schemas.microsoft.com/office/word/2010/wordprocessingShape">
                  <wps:wsp>
                    <wps:cNvSpPr/>
                    <wps:spPr>
                      <a:xfrm>
                        <a:off x="0" y="0"/>
                        <a:ext cx="6718852" cy="477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A8C0" id="Rectangle 21" o:spid="_x0000_s1026" style="position:absolute;margin-left:-37.55pt;margin-top:119.15pt;width:529.05pt;height:3.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" fillcolor="white [3212]" strokecolor="white [3212]" strokeweight="2pt"/>
          </w:pict>
        </mc:Fallback>
      </mc:AlternateContent>
    </w:r>
    <w:r>
      <w:rPr>
        <w:noProof/>
        <w:lang w:eastAsia="en-AU"/>
      </w:rPr>
      <mc:AlternateContent>
        <mc:Choice Requires="wps">
          <w:drawing>
            <wp:anchor distT="0" distB="0" distL="114300" distR="114300" simplePos="0" relativeHeight="251669844" behindDoc="0" locked="0" layoutInCell="1" allowOverlap="1" wp14:anchorId="2EC6B5D3" wp14:editId="2EC6B5D4">
              <wp:simplePos x="0" y="0"/>
              <wp:positionH relativeFrom="column">
                <wp:posOffset>-476885</wp:posOffset>
              </wp:positionH>
              <wp:positionV relativeFrom="paragraph">
                <wp:posOffset>1525905</wp:posOffset>
              </wp:positionV>
              <wp:extent cx="2893695" cy="3657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65760"/>
                      </a:xfrm>
                      <a:prstGeom prst="rect">
                        <a:avLst/>
                      </a:prstGeom>
                      <a:noFill/>
                      <a:ln w="9525">
                        <a:noFill/>
                        <a:miter lim="800000"/>
                        <a:headEnd/>
                        <a:tailEnd/>
                      </a:ln>
                    </wps:spPr>
                    <wps:txbx>
                      <w:txbxContent>
                        <w:p w14:paraId="2EC6B5E6" w14:textId="77777777" w:rsidR="00E043F8" w:rsidRPr="00627E03" w:rsidRDefault="00E043F8" w:rsidP="00627E03">
                          <w:pPr>
                            <w:spacing w:after="0" w:line="240" w:lineRule="auto"/>
                            <w:rPr>
                              <w:rFonts w:ascii="Gill Sans MT" w:hAnsi="Gill Sans MT"/>
                              <w:sz w:val="40"/>
                            </w:rPr>
                          </w:pPr>
                          <w:r>
                            <w:rPr>
                              <w:rFonts w:ascii="Gill Sans MT" w:hAnsi="Gill Sans MT"/>
                              <w:sz w:val="40"/>
                            </w:rPr>
                            <w:t>Renewable energy</w:t>
                          </w:r>
                        </w:p>
                      </w:txbxContent>
                    </wps:txbx>
                    <wps:bodyPr rot="0" vert="horz" wrap="square" lIns="91440" tIns="45720" rIns="91440" bIns="45720" anchor="t" anchorCtr="0">
                      <a:noAutofit/>
                    </wps:bodyPr>
                  </wps:wsp>
                </a:graphicData>
              </a:graphic>
            </wp:anchor>
          </w:drawing>
        </mc:Choice>
        <mc:Fallback>
          <w:pict>
            <v:shape w14:anchorId="2EC6B5D3" id="_x0000_s1030" type="#_x0000_t202" style="position:absolute;margin-left:-37.55pt;margin-top:120.15pt;width:227.85pt;height:28.8pt;z-index:2516698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" filled="f" stroked="f">
              <v:textbox>
                <w:txbxContent>
                  <w:p w14:paraId="2EC6B5E6" w14:textId="77777777" w:rsidR="00E043F8" w:rsidRPr="00627E03" w:rsidRDefault="00E043F8" w:rsidP="00627E03">
                    <w:pPr>
                      <w:spacing w:after="0" w:line="240" w:lineRule="auto"/>
                      <w:rPr>
                        <w:rFonts w:ascii="Gill Sans MT" w:hAnsi="Gill Sans MT"/>
                        <w:sz w:val="40"/>
                      </w:rPr>
                    </w:pPr>
                    <w:r>
                      <w:rPr>
                        <w:rFonts w:ascii="Gill Sans MT" w:hAnsi="Gill Sans MT"/>
                        <w:sz w:val="40"/>
                      </w:rPr>
                      <w:t>Renewable energy</w:t>
                    </w:r>
                  </w:p>
                </w:txbxContent>
              </v:textbox>
            </v:shape>
          </w:pict>
        </mc:Fallback>
      </mc:AlternateContent>
    </w:r>
    <w:r>
      <w:rPr>
        <w:noProof/>
        <w:lang w:eastAsia="en-AU"/>
      </w:rPr>
      <mc:AlternateContent>
        <mc:Choice Requires="wps">
          <w:drawing>
            <wp:anchor distT="0" distB="0" distL="114300" distR="114300" simplePos="0" relativeHeight="251668820" behindDoc="0" locked="0" layoutInCell="1" allowOverlap="1" wp14:anchorId="2EC6B5D5" wp14:editId="2EC6B5D6">
              <wp:simplePos x="0" y="0"/>
              <wp:positionH relativeFrom="column">
                <wp:posOffset>-452755</wp:posOffset>
              </wp:positionH>
              <wp:positionV relativeFrom="paragraph">
                <wp:posOffset>1566241</wp:posOffset>
              </wp:positionV>
              <wp:extent cx="6654800" cy="294005"/>
              <wp:effectExtent l="0" t="0" r="0" b="0"/>
              <wp:wrapNone/>
              <wp:docPr id="8" name="Rectangle 8"/>
              <wp:cNvGraphicFramePr/>
              <a:graphic xmlns:a="http://schemas.openxmlformats.org/drawingml/2006/main">
                <a:graphicData uri="http://schemas.microsoft.com/office/word/2010/wordprocessingShape">
                  <wps:wsp>
                    <wps:cNvSpPr/>
                    <wps:spPr>
                      <a:xfrm>
                        <a:off x="0" y="0"/>
                        <a:ext cx="6654800" cy="294005"/>
                      </a:xfrm>
                      <a:prstGeom prst="rect">
                        <a:avLst/>
                      </a:prstGeom>
                      <a:gradFill flip="none" rotWithShape="1">
                        <a:gsLst>
                          <a:gs pos="52000">
                            <a:srgbClr val="C5DDC7"/>
                          </a:gs>
                          <a:gs pos="100000">
                            <a:schemeClr val="accent3">
                              <a:lumMod val="20000"/>
                              <a:lumOff val="8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0C3A6" id="Rectangle 8" o:spid="_x0000_s1026" style="position:absolute;margin-left:-35.65pt;margin-top:123.35pt;width:524pt;height:23.15pt;z-index:2516688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" fillcolor="#c5ddc7" stroked="f" strokeweight="2pt">
              <v:fill color2="#eaf1dd [662]" rotate="t" angle="90" colors="0 #c5ddc7;34079f #c5ddc7" focus="100%" type="gradient"/>
            </v:rect>
          </w:pict>
        </mc:Fallback>
      </mc:AlternateContent>
    </w:r>
    <w:r>
      <w:rPr>
        <w:noProof/>
        <w:lang w:eastAsia="en-AU"/>
      </w:rPr>
      <w:drawing>
        <wp:anchor distT="0" distB="0" distL="114300" distR="114300" simplePos="0" relativeHeight="251667796" behindDoc="0" locked="0" layoutInCell="1" allowOverlap="1" wp14:anchorId="2EC6B5D7" wp14:editId="2EC6B5D8">
          <wp:simplePos x="0" y="0"/>
          <wp:positionH relativeFrom="column">
            <wp:posOffset>-906145</wp:posOffset>
          </wp:positionH>
          <wp:positionV relativeFrom="paragraph">
            <wp:posOffset>-260654</wp:posOffset>
          </wp:positionV>
          <wp:extent cx="7561691" cy="2520563"/>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691" cy="2520563"/>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B5C8" w14:textId="77777777" w:rsidR="00E043F8" w:rsidRDefault="00E043F8" w:rsidP="0058406A">
    <w:pPr>
      <w:pStyle w:val="Header"/>
      <w:ind w:left="-284"/>
    </w:pPr>
    <w:r>
      <w:rPr>
        <w:noProof/>
        <w:lang w:eastAsia="en-AU"/>
      </w:rPr>
      <mc:AlternateContent>
        <mc:Choice Requires="wpg">
          <w:drawing>
            <wp:anchor distT="0" distB="0" distL="114300" distR="114300" simplePos="0" relativeHeight="251662336" behindDoc="0" locked="0" layoutInCell="1" allowOverlap="1" wp14:anchorId="2EC6B5D9" wp14:editId="2EC6B5DA">
              <wp:simplePos x="0" y="0"/>
              <wp:positionH relativeFrom="column">
                <wp:posOffset>-282769</wp:posOffset>
              </wp:positionH>
              <wp:positionV relativeFrom="paragraph">
                <wp:posOffset>170622</wp:posOffset>
              </wp:positionV>
              <wp:extent cx="6679095" cy="278296"/>
              <wp:effectExtent l="0" t="0" r="7620" b="0"/>
              <wp:wrapNone/>
              <wp:docPr id="14" name="Group 14"/>
              <wp:cNvGraphicFramePr/>
              <a:graphic xmlns:a="http://schemas.openxmlformats.org/drawingml/2006/main">
                <a:graphicData uri="http://schemas.microsoft.com/office/word/2010/wordprocessingGroup">
                  <wpg:wgp>
                    <wpg:cNvGrpSpPr/>
                    <wpg:grpSpPr>
                      <a:xfrm>
                        <a:off x="0" y="0"/>
                        <a:ext cx="6679095" cy="278296"/>
                        <a:chOff x="-7799" y="0"/>
                        <a:chExt cx="6551722" cy="278296"/>
                      </a:xfrm>
                    </wpg:grpSpPr>
                    <wps:wsp>
                      <wps:cNvPr id="12" name="Rectangle 12"/>
                      <wps:cNvSpPr/>
                      <wps:spPr>
                        <a:xfrm>
                          <a:off x="0" y="23854"/>
                          <a:ext cx="6543923" cy="198783"/>
                        </a:xfrm>
                        <a:prstGeom prst="rect">
                          <a:avLst/>
                        </a:prstGeom>
                        <a:gradFill>
                          <a:gsLst>
                            <a:gs pos="50000">
                              <a:srgbClr val="C5DDC7"/>
                            </a:gs>
                            <a:gs pos="100000">
                              <a:schemeClr val="accent3">
                                <a:lumMod val="20000"/>
                                <a:lumOff val="8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7799" y="0"/>
                          <a:ext cx="2552369" cy="278296"/>
                        </a:xfrm>
                        <a:prstGeom prst="rect">
                          <a:avLst/>
                        </a:prstGeom>
                        <a:noFill/>
                        <a:ln w="9525">
                          <a:noFill/>
                          <a:miter lim="800000"/>
                          <a:headEnd/>
                          <a:tailEnd/>
                        </a:ln>
                      </wps:spPr>
                      <wps:txbx>
                        <w:txbxContent>
                          <w:p w14:paraId="2EC6B5E7" w14:textId="426AEDD8" w:rsidR="00E043F8" w:rsidRPr="0058406A" w:rsidRDefault="004807E5" w:rsidP="0058406A">
                            <w:pPr>
                              <w:spacing w:after="0"/>
                              <w:rPr>
                                <w:rFonts w:ascii="Gill Sans MT" w:hAnsi="Gill Sans MT"/>
                                <w:b/>
                              </w:rPr>
                            </w:pPr>
                            <w:r>
                              <w:rPr>
                                <w:rFonts w:ascii="Gill Sans MT" w:hAnsi="Gill Sans MT"/>
                                <w:b/>
                              </w:rPr>
                              <w:t>Sector Summary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EC6B5D9" id="Group 14" o:spid="_x0000_s1031" style="position:absolute;left:0;text-align:left;margin-left:-22.25pt;margin-top:13.45pt;width:525.9pt;height:21.9pt;z-index:251662336;mso-width-relative:margin" coordorigin="-77" coordsize="6551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">
              <v:rect id="Rectangle 12" o:spid="_x0000_s1032" style="position:absolute;top:238;width:65439;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M2cEA&#10;AADbAAAADwAAAGRycy9kb3ducmV2LnhtbERP32vCMBB+F/Y/hBvszaY6GKM2isocexpbFcG3o7mm&#10;xeZSkkzrf28Gg73dx/fzytVoe3EhHzrHCmZZDoK4drpjo+Cw301fQYSIrLF3TApuFGC1fJiUWGh3&#10;5W+6VNGIFMKhQAVtjEMhZahbshgyNxAnrnHeYkzQG6k9XlO47eU8z1+kxY5TQ4sDbVuqz9WPVXB0&#10;X6MzvKH37TOtd6fPZmPeGqWeHsf1AkSkMf6L/9wfOs2fw+8v6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hTNnBAAAA2wAAAA8AAAAAAAAAAAAAAAAAmAIAAGRycy9kb3du&#10;cmV2LnhtbFBLBQYAAAAABAAEAPUAAACGAwAAAAA=&#10;" fillcolor="#c5ddc7" stroked="f" strokeweight="2pt">
                <v:fill color2="#eaf1dd [662]" angle="90" colors="0 #c5ddc7;.5 #c5ddc7" focus="100%" type="gradient"/>
              </v:rect>
              <v:shapetype id="_x0000_t202" coordsize="21600,21600" o:spt="202" path="m,l,21600r21600,l21600,xe">
                <v:stroke joinstyle="miter"/>
                <v:path gradientshapeok="t" o:connecttype="rect"/>
              </v:shapetype>
              <v:shape id="_x0000_s1033" type="#_x0000_t202" style="position:absolute;left:-77;width:2552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EC6B5E7" w14:textId="426AEDD8" w:rsidR="00E043F8" w:rsidRPr="0058406A" w:rsidRDefault="004807E5" w:rsidP="0058406A">
                      <w:pPr>
                        <w:spacing w:after="0"/>
                        <w:rPr>
                          <w:rFonts w:ascii="Gill Sans MT" w:hAnsi="Gill Sans MT"/>
                          <w:b/>
                        </w:rPr>
                      </w:pPr>
                      <w:r>
                        <w:rPr>
                          <w:rFonts w:ascii="Gill Sans MT" w:hAnsi="Gill Sans MT"/>
                          <w:b/>
                        </w:rPr>
                        <w:t>Sector Summary</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73E9" w14:textId="77777777" w:rsidR="004807E5" w:rsidRDefault="004807E5" w:rsidP="0058406A">
    <w:pPr>
      <w:pStyle w:val="Header"/>
      <w:ind w:left="-284"/>
    </w:pPr>
    <w:r>
      <w:rPr>
        <w:noProof/>
        <w:lang w:eastAsia="en-AU"/>
      </w:rPr>
      <mc:AlternateContent>
        <mc:Choice Requires="wpg">
          <w:drawing>
            <wp:anchor distT="0" distB="0" distL="114300" distR="114300" simplePos="0" relativeHeight="251698176" behindDoc="0" locked="0" layoutInCell="1" allowOverlap="1" wp14:anchorId="33B28EA2" wp14:editId="6416A049">
              <wp:simplePos x="0" y="0"/>
              <wp:positionH relativeFrom="column">
                <wp:posOffset>-282769</wp:posOffset>
              </wp:positionH>
              <wp:positionV relativeFrom="paragraph">
                <wp:posOffset>170622</wp:posOffset>
              </wp:positionV>
              <wp:extent cx="6679095" cy="278296"/>
              <wp:effectExtent l="0" t="0" r="7620" b="0"/>
              <wp:wrapNone/>
              <wp:docPr id="6" name="Group 6"/>
              <wp:cNvGraphicFramePr/>
              <a:graphic xmlns:a="http://schemas.openxmlformats.org/drawingml/2006/main">
                <a:graphicData uri="http://schemas.microsoft.com/office/word/2010/wordprocessingGroup">
                  <wpg:wgp>
                    <wpg:cNvGrpSpPr/>
                    <wpg:grpSpPr>
                      <a:xfrm>
                        <a:off x="0" y="0"/>
                        <a:ext cx="6679095" cy="278296"/>
                        <a:chOff x="-7799" y="0"/>
                        <a:chExt cx="6551722" cy="278296"/>
                      </a:xfrm>
                    </wpg:grpSpPr>
                    <wps:wsp>
                      <wps:cNvPr id="11" name="Rectangle 11"/>
                      <wps:cNvSpPr/>
                      <wps:spPr>
                        <a:xfrm>
                          <a:off x="0" y="23854"/>
                          <a:ext cx="6543923" cy="198783"/>
                        </a:xfrm>
                        <a:prstGeom prst="rect">
                          <a:avLst/>
                        </a:prstGeom>
                        <a:gradFill>
                          <a:gsLst>
                            <a:gs pos="50000">
                              <a:srgbClr val="C5DDC7"/>
                            </a:gs>
                            <a:gs pos="100000">
                              <a:schemeClr val="accent3">
                                <a:lumMod val="20000"/>
                                <a:lumOff val="8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7799" y="0"/>
                          <a:ext cx="2552369" cy="278296"/>
                        </a:xfrm>
                        <a:prstGeom prst="rect">
                          <a:avLst/>
                        </a:prstGeom>
                        <a:noFill/>
                        <a:ln w="9525">
                          <a:noFill/>
                          <a:miter lim="800000"/>
                          <a:headEnd/>
                          <a:tailEnd/>
                        </a:ln>
                      </wps:spPr>
                      <wps:txbx>
                        <w:txbxContent>
                          <w:p w14:paraId="521D5B3D" w14:textId="77777777" w:rsidR="004807E5" w:rsidRPr="0058406A" w:rsidRDefault="004807E5" w:rsidP="0058406A">
                            <w:pPr>
                              <w:spacing w:after="0"/>
                              <w:rPr>
                                <w:rFonts w:ascii="Gill Sans MT" w:hAnsi="Gill Sans MT"/>
                                <w:b/>
                              </w:rPr>
                            </w:pPr>
                            <w:r>
                              <w:rPr>
                                <w:rFonts w:ascii="Gill Sans MT" w:hAnsi="Gill Sans MT"/>
                                <w:b/>
                              </w:rPr>
                              <w:t>Constraints and Opportunities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3B28EA2" id="Group 6" o:spid="_x0000_s1034" style="position:absolute;left:0;text-align:left;margin-left:-22.25pt;margin-top:13.45pt;width:525.9pt;height:21.9pt;z-index:251698176;mso-width-relative:margin" coordorigin="-77" coordsize="6551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">
              <v:rect id="Rectangle 11" o:spid="_x0000_s1035" style="position:absolute;top:238;width:65439;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SrsAA&#10;AADbAAAADwAAAGRycy9kb3ducmV2LnhtbERPTYvCMBC9C/6HMAt701QFka5RVFT2JFpF2NvQTNOy&#10;zaQ0Ueu/N8LC3ubxPme+7Gwt7tT6yrGC0TABQZw7XbFRcDnvBjMQPiBrrB2Tgid5WC76vTmm2j34&#10;RPcsGBFD2KeooAyhSaX0eUkW/dA1xJErXGsxRNgaqVt8xHBby3GSTKXFimNDiQ1tSsp/s5tVcHXH&#10;zhle034zodXu51CszbZQ6vOjW32BCNSFf/Gf+1vH+SN4/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PSrsAAAADbAAAADwAAAAAAAAAAAAAAAACYAgAAZHJzL2Rvd25y&#10;ZXYueG1sUEsFBgAAAAAEAAQA9QAAAIUDAAAAAA==&#10;" fillcolor="#c5ddc7" stroked="f" strokeweight="2pt">
                <v:fill color2="#eaf1dd [662]" angle="90" colors="0 #c5ddc7;.5 #c5ddc7" focus="100%" type="gradient"/>
              </v:rect>
              <v:shapetype id="_x0000_t202" coordsize="21600,21600" o:spt="202" path="m,l,21600r21600,l21600,xe">
                <v:stroke joinstyle="miter"/>
                <v:path gradientshapeok="t" o:connecttype="rect"/>
              </v:shapetype>
              <v:shape id="_x0000_s1036" type="#_x0000_t202" style="position:absolute;left:-77;width:2552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21D5B3D" w14:textId="77777777" w:rsidR="004807E5" w:rsidRPr="0058406A" w:rsidRDefault="004807E5" w:rsidP="0058406A">
                      <w:pPr>
                        <w:spacing w:after="0"/>
                        <w:rPr>
                          <w:rFonts w:ascii="Gill Sans MT" w:hAnsi="Gill Sans MT"/>
                          <w:b/>
                        </w:rPr>
                      </w:pPr>
                      <w:r>
                        <w:rPr>
                          <w:rFonts w:ascii="Gill Sans MT" w:hAnsi="Gill Sans MT"/>
                          <w:b/>
                        </w:rPr>
                        <w:t>Constraints and Opportunities</w:t>
                      </w:r>
                    </w:p>
                  </w:txbxContent>
                </v:textbox>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B1C8" w14:textId="77777777" w:rsidR="004807E5" w:rsidRDefault="004807E5" w:rsidP="0058406A">
    <w:pPr>
      <w:pStyle w:val="Header"/>
      <w:ind w:left="-284"/>
    </w:pPr>
    <w:r>
      <w:rPr>
        <w:noProof/>
        <w:lang w:eastAsia="en-AU"/>
      </w:rPr>
      <mc:AlternateContent>
        <mc:Choice Requires="wpg">
          <w:drawing>
            <wp:anchor distT="0" distB="0" distL="114300" distR="114300" simplePos="0" relativeHeight="251700224" behindDoc="0" locked="0" layoutInCell="1" allowOverlap="1" wp14:anchorId="670826E9" wp14:editId="3EC9B001">
              <wp:simplePos x="0" y="0"/>
              <wp:positionH relativeFrom="column">
                <wp:posOffset>-282769</wp:posOffset>
              </wp:positionH>
              <wp:positionV relativeFrom="paragraph">
                <wp:posOffset>170622</wp:posOffset>
              </wp:positionV>
              <wp:extent cx="6679095" cy="278296"/>
              <wp:effectExtent l="0" t="0" r="7620" b="0"/>
              <wp:wrapNone/>
              <wp:docPr id="16" name="Group 16"/>
              <wp:cNvGraphicFramePr/>
              <a:graphic xmlns:a="http://schemas.openxmlformats.org/drawingml/2006/main">
                <a:graphicData uri="http://schemas.microsoft.com/office/word/2010/wordprocessingGroup">
                  <wpg:wgp>
                    <wpg:cNvGrpSpPr/>
                    <wpg:grpSpPr>
                      <a:xfrm>
                        <a:off x="0" y="0"/>
                        <a:ext cx="6679095" cy="278296"/>
                        <a:chOff x="-7799" y="0"/>
                        <a:chExt cx="6551722" cy="278296"/>
                      </a:xfrm>
                    </wpg:grpSpPr>
                    <wps:wsp>
                      <wps:cNvPr id="17" name="Rectangle 17"/>
                      <wps:cNvSpPr/>
                      <wps:spPr>
                        <a:xfrm>
                          <a:off x="0" y="23854"/>
                          <a:ext cx="6543923" cy="198783"/>
                        </a:xfrm>
                        <a:prstGeom prst="rect">
                          <a:avLst/>
                        </a:prstGeom>
                        <a:gradFill>
                          <a:gsLst>
                            <a:gs pos="50000">
                              <a:srgbClr val="C5DDC7"/>
                            </a:gs>
                            <a:gs pos="100000">
                              <a:schemeClr val="accent3">
                                <a:lumMod val="20000"/>
                                <a:lumOff val="8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7799" y="0"/>
                          <a:ext cx="2552369" cy="278296"/>
                        </a:xfrm>
                        <a:prstGeom prst="rect">
                          <a:avLst/>
                        </a:prstGeom>
                        <a:noFill/>
                        <a:ln w="9525">
                          <a:noFill/>
                          <a:miter lim="800000"/>
                          <a:headEnd/>
                          <a:tailEnd/>
                        </a:ln>
                      </wps:spPr>
                      <wps:txbx>
                        <w:txbxContent>
                          <w:p w14:paraId="09E4ACF9" w14:textId="7F369AF0" w:rsidR="004807E5" w:rsidRPr="0058406A" w:rsidRDefault="004807E5" w:rsidP="0058406A">
                            <w:pPr>
                              <w:spacing w:after="0"/>
                              <w:rPr>
                                <w:rFonts w:ascii="Gill Sans MT" w:hAnsi="Gill Sans MT"/>
                                <w:b/>
                              </w:rPr>
                            </w:pPr>
                            <w:r>
                              <w:rPr>
                                <w:rFonts w:ascii="Gill Sans MT" w:hAnsi="Gill Sans MT"/>
                                <w:b/>
                              </w:rPr>
                              <w:t>Strategy Summary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70826E9" id="Group 16" o:spid="_x0000_s1037" style="position:absolute;left:0;text-align:left;margin-left:-22.25pt;margin-top:13.45pt;width:525.9pt;height:21.9pt;z-index:251700224;mso-width-relative:margin" coordorigin="-77" coordsize="65517,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">
              <v:rect id="Rectangle 17" o:spid="_x0000_s1038" style="position:absolute;top:238;width:65439;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vQcAA&#10;AADbAAAADwAAAGRycy9kb3ducmV2LnhtbERPTYvCMBC9C/sfwizsTdNV0KUaRUUXT6KuCN6GZpqW&#10;bSaliVr/vREEb/N4nzOZtbYSV2p86VjBdy8BQZw5XbJRcPxbd39A+ICssXJMCu7kYTb96Eww1e7G&#10;e7oeghExhH2KCooQ6lRKnxVk0fdcTRy53DUWQ4SNkbrBWwy3lewnyVBaLDk2FFjTsqDs/3CxCk5u&#10;1zrDC/pdDmi+Pm/zhVnlSn19tvMxiEBteItf7o2O80fw/CUeIK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bvQcAAAADbAAAADwAAAAAAAAAAAAAAAACYAgAAZHJzL2Rvd25y&#10;ZXYueG1sUEsFBgAAAAAEAAQA9QAAAIUDAAAAAA==&#10;" fillcolor="#c5ddc7" stroked="f" strokeweight="2pt">
                <v:fill color2="#eaf1dd [662]" angle="90" colors="0 #c5ddc7;.5 #c5ddc7" focus="100%" type="gradient"/>
              </v:rect>
              <v:shapetype id="_x0000_t202" coordsize="21600,21600" o:spt="202" path="m,l,21600r21600,l21600,xe">
                <v:stroke joinstyle="miter"/>
                <v:path gradientshapeok="t" o:connecttype="rect"/>
              </v:shapetype>
              <v:shape id="_x0000_s1039" type="#_x0000_t202" style="position:absolute;left:-77;width:25522;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9E4ACF9" w14:textId="7F369AF0" w:rsidR="004807E5" w:rsidRPr="0058406A" w:rsidRDefault="004807E5" w:rsidP="0058406A">
                      <w:pPr>
                        <w:spacing w:after="0"/>
                        <w:rPr>
                          <w:rFonts w:ascii="Gill Sans MT" w:hAnsi="Gill Sans MT"/>
                          <w:b/>
                        </w:rPr>
                      </w:pPr>
                      <w:r>
                        <w:rPr>
                          <w:rFonts w:ascii="Gill Sans MT" w:hAnsi="Gill Sans MT"/>
                          <w:b/>
                        </w:rPr>
                        <w:t>Strategy Summary</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3DD6"/>
    <w:multiLevelType w:val="hybridMultilevel"/>
    <w:tmpl w:val="E5D264A4"/>
    <w:lvl w:ilvl="0" w:tplc="0B4802DA">
      <w:start w:val="1"/>
      <w:numFmt w:val="bullet"/>
      <w:pStyle w:val="Sectorbodydotpoints"/>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nsid w:val="2CFC7573"/>
    <w:multiLevelType w:val="hybridMultilevel"/>
    <w:tmpl w:val="2BBEA0F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nsid w:val="5DFE1C3F"/>
    <w:multiLevelType w:val="hybridMultilevel"/>
    <w:tmpl w:val="C88C5B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E3"/>
    <w:rsid w:val="000178B0"/>
    <w:rsid w:val="0002159F"/>
    <w:rsid w:val="00022BAC"/>
    <w:rsid w:val="000907FB"/>
    <w:rsid w:val="000C4E19"/>
    <w:rsid w:val="000E4476"/>
    <w:rsid w:val="00103B35"/>
    <w:rsid w:val="0013310F"/>
    <w:rsid w:val="001D2311"/>
    <w:rsid w:val="001F67B6"/>
    <w:rsid w:val="002172AA"/>
    <w:rsid w:val="002414DB"/>
    <w:rsid w:val="002D6CD9"/>
    <w:rsid w:val="0031621C"/>
    <w:rsid w:val="00331AFC"/>
    <w:rsid w:val="003901F5"/>
    <w:rsid w:val="003E3BF6"/>
    <w:rsid w:val="003F3AB1"/>
    <w:rsid w:val="00413BC7"/>
    <w:rsid w:val="00457FE7"/>
    <w:rsid w:val="004807E5"/>
    <w:rsid w:val="00486259"/>
    <w:rsid w:val="004977F2"/>
    <w:rsid w:val="004C3F68"/>
    <w:rsid w:val="004D653D"/>
    <w:rsid w:val="00547345"/>
    <w:rsid w:val="00562EB6"/>
    <w:rsid w:val="0058406A"/>
    <w:rsid w:val="005B54F9"/>
    <w:rsid w:val="005B7873"/>
    <w:rsid w:val="00627E03"/>
    <w:rsid w:val="0064080F"/>
    <w:rsid w:val="0069028A"/>
    <w:rsid w:val="006A3F59"/>
    <w:rsid w:val="006D5DFD"/>
    <w:rsid w:val="006E6AB0"/>
    <w:rsid w:val="006F4634"/>
    <w:rsid w:val="00736C19"/>
    <w:rsid w:val="007555AE"/>
    <w:rsid w:val="00761760"/>
    <w:rsid w:val="00767B51"/>
    <w:rsid w:val="00771794"/>
    <w:rsid w:val="00785368"/>
    <w:rsid w:val="00790878"/>
    <w:rsid w:val="007E29B2"/>
    <w:rsid w:val="0086322E"/>
    <w:rsid w:val="00875825"/>
    <w:rsid w:val="008874A3"/>
    <w:rsid w:val="008E25CC"/>
    <w:rsid w:val="00902284"/>
    <w:rsid w:val="00922167"/>
    <w:rsid w:val="00993C46"/>
    <w:rsid w:val="009A3969"/>
    <w:rsid w:val="009A596B"/>
    <w:rsid w:val="009B3C34"/>
    <w:rsid w:val="009F7A61"/>
    <w:rsid w:val="00A17444"/>
    <w:rsid w:val="00AC080D"/>
    <w:rsid w:val="00B16281"/>
    <w:rsid w:val="00B249BA"/>
    <w:rsid w:val="00B27DE1"/>
    <w:rsid w:val="00B327E3"/>
    <w:rsid w:val="00B44606"/>
    <w:rsid w:val="00B83CEC"/>
    <w:rsid w:val="00BF461F"/>
    <w:rsid w:val="00BF4D43"/>
    <w:rsid w:val="00C00A5C"/>
    <w:rsid w:val="00C0471B"/>
    <w:rsid w:val="00C167E3"/>
    <w:rsid w:val="00C225A0"/>
    <w:rsid w:val="00C466E3"/>
    <w:rsid w:val="00C610BB"/>
    <w:rsid w:val="00C9228E"/>
    <w:rsid w:val="00CA024E"/>
    <w:rsid w:val="00CC1C99"/>
    <w:rsid w:val="00D360A3"/>
    <w:rsid w:val="00D60D44"/>
    <w:rsid w:val="00D74BAB"/>
    <w:rsid w:val="00D74FD4"/>
    <w:rsid w:val="00DE4D8C"/>
    <w:rsid w:val="00DF0993"/>
    <w:rsid w:val="00DF3D3B"/>
    <w:rsid w:val="00E043F8"/>
    <w:rsid w:val="00E47419"/>
    <w:rsid w:val="00E649F4"/>
    <w:rsid w:val="00E663E5"/>
    <w:rsid w:val="00E73CE6"/>
    <w:rsid w:val="00F02B07"/>
    <w:rsid w:val="00F14541"/>
    <w:rsid w:val="00F5151C"/>
    <w:rsid w:val="00F91AA8"/>
    <w:rsid w:val="00FA1106"/>
    <w:rsid w:val="00FC083E"/>
    <w:rsid w:val="00FE1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B523"/>
  <w15:docId w15:val="{24ACC7B3-A3A3-48C2-BEBD-941FD783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D44"/>
    <w:pPr>
      <w:ind w:left="-284"/>
      <w:outlineLvl w:val="0"/>
    </w:pPr>
    <w:rPr>
      <w:rFonts w:ascii="Gill Sans MT" w:hAnsi="Gill Sans MT"/>
      <w:sz w:val="40"/>
      <w:szCs w:val="40"/>
    </w:rPr>
  </w:style>
  <w:style w:type="paragraph" w:styleId="Heading2">
    <w:name w:val="heading 2"/>
    <w:basedOn w:val="Sectorbody"/>
    <w:next w:val="Normal"/>
    <w:link w:val="Heading2Char"/>
    <w:uiPriority w:val="9"/>
    <w:unhideWhenUsed/>
    <w:qFormat/>
    <w:rsid w:val="00D60D44"/>
    <w:pPr>
      <w:spacing w:before="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E3"/>
  </w:style>
  <w:style w:type="paragraph" w:styleId="Footer">
    <w:name w:val="footer"/>
    <w:basedOn w:val="Normal"/>
    <w:link w:val="FooterChar"/>
    <w:uiPriority w:val="99"/>
    <w:unhideWhenUsed/>
    <w:rsid w:val="00C16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7E3"/>
  </w:style>
  <w:style w:type="paragraph" w:customStyle="1" w:styleId="Sectorbody">
    <w:name w:val="Sector body"/>
    <w:basedOn w:val="Normal"/>
    <w:link w:val="SectorbodyChar"/>
    <w:qFormat/>
    <w:rsid w:val="00C00A5C"/>
    <w:pPr>
      <w:spacing w:before="240" w:after="280"/>
      <w:ind w:left="-284"/>
      <w:jc w:val="both"/>
    </w:pPr>
    <w:rPr>
      <w:rFonts w:ascii="Gill Sans MT" w:hAnsi="Gill Sans MT"/>
    </w:rPr>
  </w:style>
  <w:style w:type="character" w:styleId="Hyperlink">
    <w:name w:val="Hyperlink"/>
    <w:basedOn w:val="DefaultParagraphFont"/>
    <w:uiPriority w:val="99"/>
    <w:unhideWhenUsed/>
    <w:rsid w:val="00C167E3"/>
    <w:rPr>
      <w:color w:val="0000FF" w:themeColor="hyperlink"/>
      <w:u w:val="single"/>
    </w:rPr>
  </w:style>
  <w:style w:type="character" w:customStyle="1" w:styleId="SectorbodyChar">
    <w:name w:val="Sector body Char"/>
    <w:basedOn w:val="DefaultParagraphFont"/>
    <w:link w:val="Sectorbody"/>
    <w:rsid w:val="00C00A5C"/>
    <w:rPr>
      <w:rFonts w:ascii="Gill Sans MT" w:hAnsi="Gill Sans MT"/>
    </w:rPr>
  </w:style>
  <w:style w:type="character" w:customStyle="1" w:styleId="Heading1Char">
    <w:name w:val="Heading 1 Char"/>
    <w:basedOn w:val="DefaultParagraphFont"/>
    <w:link w:val="Heading1"/>
    <w:uiPriority w:val="9"/>
    <w:rsid w:val="00D60D44"/>
    <w:rPr>
      <w:rFonts w:ascii="Gill Sans MT" w:hAnsi="Gill Sans MT"/>
      <w:sz w:val="40"/>
      <w:szCs w:val="40"/>
    </w:rPr>
  </w:style>
  <w:style w:type="character" w:customStyle="1" w:styleId="Heading2Char">
    <w:name w:val="Heading 2 Char"/>
    <w:basedOn w:val="DefaultParagraphFont"/>
    <w:link w:val="Heading2"/>
    <w:uiPriority w:val="9"/>
    <w:rsid w:val="00D60D44"/>
    <w:rPr>
      <w:rFonts w:ascii="Gill Sans MT" w:hAnsi="Gill Sans MT"/>
      <w:b/>
    </w:rPr>
  </w:style>
  <w:style w:type="paragraph" w:customStyle="1" w:styleId="Sectorbodystats">
    <w:name w:val="Sector body stats"/>
    <w:basedOn w:val="Sectorbody"/>
    <w:link w:val="SectorbodystatsChar"/>
    <w:qFormat/>
    <w:rsid w:val="00D60D44"/>
    <w:pPr>
      <w:spacing w:before="0" w:after="0"/>
    </w:pPr>
  </w:style>
  <w:style w:type="paragraph" w:customStyle="1" w:styleId="Sectorbodydotpoints">
    <w:name w:val="Sector body dot points"/>
    <w:basedOn w:val="Sectorbodystats"/>
    <w:link w:val="SectorbodydotpointsChar"/>
    <w:qFormat/>
    <w:rsid w:val="00331AFC"/>
    <w:pPr>
      <w:numPr>
        <w:numId w:val="1"/>
      </w:numPr>
      <w:spacing w:after="120"/>
    </w:pPr>
  </w:style>
  <w:style w:type="character" w:customStyle="1" w:styleId="SectorbodystatsChar">
    <w:name w:val="Sector body stats Char"/>
    <w:basedOn w:val="SectorbodyChar"/>
    <w:link w:val="Sectorbodystats"/>
    <w:rsid w:val="00D60D44"/>
    <w:rPr>
      <w:rFonts w:ascii="Gill Sans MT" w:hAnsi="Gill Sans MT"/>
    </w:rPr>
  </w:style>
  <w:style w:type="paragraph" w:styleId="BalloonText">
    <w:name w:val="Balloon Text"/>
    <w:basedOn w:val="Normal"/>
    <w:link w:val="BalloonTextChar"/>
    <w:uiPriority w:val="99"/>
    <w:semiHidden/>
    <w:unhideWhenUsed/>
    <w:rsid w:val="00627E03"/>
    <w:pPr>
      <w:spacing w:after="0" w:line="240" w:lineRule="auto"/>
    </w:pPr>
    <w:rPr>
      <w:rFonts w:ascii="Tahoma" w:hAnsi="Tahoma" w:cs="Tahoma"/>
      <w:sz w:val="16"/>
      <w:szCs w:val="16"/>
    </w:rPr>
  </w:style>
  <w:style w:type="character" w:customStyle="1" w:styleId="SectorbodydotpointsChar">
    <w:name w:val="Sector body dot points Char"/>
    <w:basedOn w:val="SectorbodystatsChar"/>
    <w:link w:val="Sectorbodydotpoints"/>
    <w:rsid w:val="00331AFC"/>
    <w:rPr>
      <w:rFonts w:ascii="Gill Sans MT" w:hAnsi="Gill Sans MT"/>
    </w:rPr>
  </w:style>
  <w:style w:type="character" w:customStyle="1" w:styleId="BalloonTextChar">
    <w:name w:val="Balloon Text Char"/>
    <w:basedOn w:val="DefaultParagraphFont"/>
    <w:link w:val="BalloonText"/>
    <w:uiPriority w:val="99"/>
    <w:semiHidden/>
    <w:rsid w:val="00627E03"/>
    <w:rPr>
      <w:rFonts w:ascii="Tahoma" w:hAnsi="Tahoma" w:cs="Tahoma"/>
      <w:sz w:val="16"/>
      <w:szCs w:val="16"/>
    </w:rPr>
  </w:style>
  <w:style w:type="paragraph" w:customStyle="1" w:styleId="xmsonormal">
    <w:name w:val="x_msonormal"/>
    <w:basedOn w:val="Normal"/>
    <w:link w:val="xmsonormalChar"/>
    <w:rsid w:val="00F91AA8"/>
    <w:pPr>
      <w:spacing w:beforeLines="1" w:afterLines="1" w:line="240" w:lineRule="auto"/>
    </w:pPr>
    <w:rPr>
      <w:rFonts w:ascii="Times" w:hAnsi="Times"/>
      <w:sz w:val="20"/>
      <w:szCs w:val="20"/>
      <w:lang w:val="en-US"/>
    </w:rPr>
  </w:style>
  <w:style w:type="character" w:customStyle="1" w:styleId="xmsonormalChar">
    <w:name w:val="x_msonormal Char"/>
    <w:basedOn w:val="DefaultParagraphFont"/>
    <w:link w:val="xmsonormal"/>
    <w:rsid w:val="00F91AA8"/>
    <w:rPr>
      <w:rFonts w:ascii="Times" w:hAnsi="Times"/>
      <w:sz w:val="20"/>
      <w:szCs w:val="20"/>
      <w:lang w:val="en-US"/>
    </w:rPr>
  </w:style>
  <w:style w:type="character" w:styleId="CommentReference">
    <w:name w:val="annotation reference"/>
    <w:basedOn w:val="DefaultParagraphFont"/>
    <w:uiPriority w:val="99"/>
    <w:semiHidden/>
    <w:unhideWhenUsed/>
    <w:rsid w:val="00C225A0"/>
    <w:rPr>
      <w:sz w:val="16"/>
      <w:szCs w:val="16"/>
    </w:rPr>
  </w:style>
  <w:style w:type="paragraph" w:styleId="CommentText">
    <w:name w:val="annotation text"/>
    <w:basedOn w:val="Normal"/>
    <w:link w:val="CommentTextChar"/>
    <w:uiPriority w:val="99"/>
    <w:semiHidden/>
    <w:unhideWhenUsed/>
    <w:rsid w:val="00C225A0"/>
    <w:pPr>
      <w:spacing w:line="240" w:lineRule="auto"/>
    </w:pPr>
    <w:rPr>
      <w:sz w:val="20"/>
      <w:szCs w:val="20"/>
    </w:rPr>
  </w:style>
  <w:style w:type="character" w:customStyle="1" w:styleId="CommentTextChar">
    <w:name w:val="Comment Text Char"/>
    <w:basedOn w:val="DefaultParagraphFont"/>
    <w:link w:val="CommentText"/>
    <w:uiPriority w:val="99"/>
    <w:semiHidden/>
    <w:rsid w:val="00C225A0"/>
    <w:rPr>
      <w:sz w:val="20"/>
      <w:szCs w:val="20"/>
    </w:rPr>
  </w:style>
  <w:style w:type="paragraph" w:styleId="CommentSubject">
    <w:name w:val="annotation subject"/>
    <w:basedOn w:val="CommentText"/>
    <w:next w:val="CommentText"/>
    <w:link w:val="CommentSubjectChar"/>
    <w:uiPriority w:val="99"/>
    <w:semiHidden/>
    <w:unhideWhenUsed/>
    <w:rsid w:val="00C225A0"/>
    <w:rPr>
      <w:b/>
      <w:bCs/>
    </w:rPr>
  </w:style>
  <w:style w:type="character" w:customStyle="1" w:styleId="CommentSubjectChar">
    <w:name w:val="Comment Subject Char"/>
    <w:basedOn w:val="CommentTextChar"/>
    <w:link w:val="CommentSubject"/>
    <w:uiPriority w:val="99"/>
    <w:semiHidden/>
    <w:rsid w:val="00C22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eddie/agency/stratpolrsrch/econresearchimpact/EDP%20Implementation/Key%20Project%20Documents/Project%20Plan%20EDP%20Implementation%202013-14%20-%202017-18/Sector%20Summaries%20Data%20v2_9%20Dec%202013%20Rods%20no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eddie/agency/stratpolrsrch/econresearchimpact/EDP%20Implementation/Key%20Project%20Documents/Project%20Plan%20EDP%20Implementation%202013-14%20-%202017-18/Sector%20Summaries%20Data%20v2_9%20Dec%202013%20Rods%20no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'Renewable Energy'!$B$2</c:f>
              <c:strCache>
                <c:ptCount val="1"/>
                <c:pt idx="0">
                  <c:v>Renewable energy</c:v>
                </c:pt>
              </c:strCache>
            </c:strRef>
          </c:tx>
          <c:invertIfNegative val="0"/>
          <c:cat>
            <c:strRef>
              <c:f>'Renewable Energy'!$B$6:$B$7</c:f>
              <c:strCache>
                <c:ptCount val="2"/>
                <c:pt idx="0">
                  <c:v>Industry Value Add</c:v>
                </c:pt>
                <c:pt idx="1">
                  <c:v>Employment</c:v>
                </c:pt>
              </c:strCache>
            </c:strRef>
          </c:cat>
          <c:val>
            <c:numRef>
              <c:f>'Renewable Energy'!$G$6:$G$7</c:f>
              <c:numCache>
                <c:formatCode>0.0%</c:formatCode>
                <c:ptCount val="2"/>
                <c:pt idx="0">
                  <c:v>1.3928765732360404E-2</c:v>
                </c:pt>
                <c:pt idx="1">
                  <c:v>2.3162482450874264E-3</c:v>
                </c:pt>
              </c:numCache>
            </c:numRef>
          </c:val>
        </c:ser>
        <c:dLbls>
          <c:showLegendKey val="0"/>
          <c:showVal val="0"/>
          <c:showCatName val="0"/>
          <c:showSerName val="0"/>
          <c:showPercent val="0"/>
          <c:showBubbleSize val="0"/>
        </c:dLbls>
        <c:gapWidth val="150"/>
        <c:axId val="54017008"/>
        <c:axId val="416707248"/>
      </c:barChart>
      <c:catAx>
        <c:axId val="54017008"/>
        <c:scaling>
          <c:orientation val="minMax"/>
        </c:scaling>
        <c:delete val="0"/>
        <c:axPos val="b"/>
        <c:numFmt formatCode="General" sourceLinked="0"/>
        <c:majorTickMark val="out"/>
        <c:minorTickMark val="none"/>
        <c:tickLblPos val="nextTo"/>
        <c:crossAx val="416707248"/>
        <c:crosses val="autoZero"/>
        <c:auto val="1"/>
        <c:lblAlgn val="ctr"/>
        <c:lblOffset val="100"/>
        <c:noMultiLvlLbl val="0"/>
      </c:catAx>
      <c:valAx>
        <c:axId val="416707248"/>
        <c:scaling>
          <c:orientation val="minMax"/>
        </c:scaling>
        <c:delete val="0"/>
        <c:axPos val="l"/>
        <c:majorGridlines/>
        <c:title>
          <c:tx>
            <c:rich>
              <a:bodyPr rot="-5400000" vert="horz"/>
              <a:lstStyle/>
              <a:p>
                <a:pPr>
                  <a:defRPr/>
                </a:pPr>
                <a:r>
                  <a:rPr lang="en-AU"/>
                  <a:t>Percentage of Tasmanian total</a:t>
                </a:r>
              </a:p>
            </c:rich>
          </c:tx>
          <c:layout>
            <c:manualLayout>
              <c:xMode val="edge"/>
              <c:yMode val="edge"/>
              <c:x val="1.9444444444444445E-2"/>
              <c:y val="0.17742308253135136"/>
            </c:manualLayout>
          </c:layout>
          <c:overlay val="0"/>
        </c:title>
        <c:numFmt formatCode="0.0%" sourceLinked="1"/>
        <c:majorTickMark val="out"/>
        <c:minorTickMark val="none"/>
        <c:tickLblPos val="nextTo"/>
        <c:crossAx val="54017008"/>
        <c:crosses val="autoZero"/>
        <c:crossBetween val="between"/>
      </c:valAx>
    </c:plotArea>
    <c:plotVisOnly val="1"/>
    <c:dispBlanksAs val="gap"/>
    <c:showDLblsOverMax val="0"/>
  </c:chart>
  <c:spPr>
    <a:ln>
      <a:noFill/>
    </a:ln>
  </c:spPr>
  <c:txPr>
    <a:bodyPr/>
    <a:lstStyle/>
    <a:p>
      <a:pPr>
        <a:defRPr>
          <a:latin typeface="Gill Sans MT"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'Renewable Energy'!$B$47:$B$50</c:f>
              <c:strCache>
                <c:ptCount val="4"/>
                <c:pt idx="0">
                  <c:v>North West</c:v>
                </c:pt>
                <c:pt idx="1">
                  <c:v>North</c:v>
                </c:pt>
                <c:pt idx="2">
                  <c:v>South</c:v>
                </c:pt>
                <c:pt idx="3">
                  <c:v>Other</c:v>
                </c:pt>
              </c:strCache>
            </c:strRef>
          </c:cat>
          <c:val>
            <c:numRef>
              <c:f>'Renewable Energy'!$D$47:$D$49</c:f>
              <c:numCache>
                <c:formatCode>0%</c:formatCode>
                <c:ptCount val="3"/>
                <c:pt idx="0">
                  <c:v>6.2770562770562768E-2</c:v>
                </c:pt>
                <c:pt idx="1">
                  <c:v>8.4415584415584416E-2</c:v>
                </c:pt>
                <c:pt idx="2">
                  <c:v>0.8528138528138528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292745052438066"/>
          <c:y val="0.24371093613298336"/>
          <c:w val="0.22956200095241258"/>
          <c:h val="0.5362813648293963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5CF95164C3409500FCE3A0182A46" ma:contentTypeVersion="0" ma:contentTypeDescription="Create a new document." ma:contentTypeScope="" ma:versionID="b2cf4e97016ff48f5274f448cd441c84">
  <xsd:schema xmlns:xsd="http://www.w3.org/2001/XMLSchema" xmlns:xs="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5C90-6504-4B5B-9E05-A12FB526ACB8}">
  <ds:schemaRefs>
    <ds:schemaRef ds:uri="http://schemas.microsoft.com/sharepoint/v3/contenttype/forms"/>
  </ds:schemaRefs>
</ds:datastoreItem>
</file>

<file path=customXml/itemProps2.xml><?xml version="1.0" encoding="utf-8"?>
<ds:datastoreItem xmlns:ds="http://schemas.openxmlformats.org/officeDocument/2006/customXml" ds:itemID="{DA599042-C494-42B6-B132-272BFFC4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B9368-E1E1-4F01-A357-9A8419276E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0D342-7E7E-4683-AB1E-E5A2120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of Economic Development, Tourism &amp; the Arts</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Roach, Thomas</dc:creator>
  <cp:lastModifiedBy>Murrell, Linda</cp:lastModifiedBy>
  <cp:revision>4</cp:revision>
  <cp:lastPrinted>2014-01-15T22:28:00Z</cp:lastPrinted>
  <dcterms:created xsi:type="dcterms:W3CDTF">2014-06-30T06:11:00Z</dcterms:created>
  <dcterms:modified xsi:type="dcterms:W3CDTF">2014-06-30T06:13:00Z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0x010100A8C55CF95164C3409500FCE3A0182A46</vt:lpwstr>
  </property>
</Properties>
</file>