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3A1" w:rsidRPr="0010002D" w:rsidRDefault="0013561B" w:rsidP="00FC3D4D">
      <w:pPr>
        <w:pStyle w:val="SingleLineSpacingText"/>
        <w:spacing w:after="240"/>
        <w:rPr>
          <w:lang w:val="en-GB"/>
        </w:rPr>
      </w:pPr>
      <w:bookmarkStart w:id="0" w:name="_GoBack"/>
      <w:bookmarkEnd w:id="0"/>
      <w:r w:rsidRPr="0010002D">
        <w:rPr>
          <w:lang w:val="en-GB"/>
        </w:rPr>
        <w:t xml:space="preserve">                                                                                                                                                                                                                                                                                                                                                                                                                                                                                                                                                                                                                                                                                                                                                                                                                                                                                                                                                                                                                                                                                                                                                                                                                                                                                                                                                                                                                                                                                                                                                                                                                                                                                                                                                                                                                                                                                                                                                                                                                                                                                                                                                                                                                                                                                                                                                                                                                                                                           </w:t>
      </w:r>
      <w:sdt>
        <w:sdtPr>
          <w:rPr>
            <w:lang w:val="en-GB"/>
          </w:rPr>
          <w:alias w:val="Cover Image"/>
          <w:tag w:val="ReportCoverImage"/>
          <w:id w:val="796038084"/>
          <w:lock w:val="sdtLocked"/>
          <w:placeholder>
            <w:docPart w:val="ABB0A1D61FA34C65AE064C145E9D07AE"/>
          </w:placeholder>
          <w:docPartList>
            <w:docPartGallery w:val="Custom 2"/>
            <w:docPartCategory w:val="Covers"/>
          </w:docPartList>
        </w:sdtPr>
        <w:sdtEndPr/>
        <w:sdtContent>
          <w:r w:rsidR="00D3310E" w:rsidRPr="0010002D">
            <w:rPr>
              <w:noProof/>
              <w:lang w:val="en-AU" w:eastAsia="en-AU"/>
            </w:rPr>
            <w:drawing>
              <wp:inline distT="0" distB="0" distL="0" distR="0">
                <wp:extent cx="6222351" cy="7137070"/>
                <wp:effectExtent l="0" t="0" r="7620" b="6985"/>
                <wp:docPr id="34" name="Picture 34" descr="C:\Users\Peter.Carney\AppData\Local\Microsoft\Windows\Temporary Internet Files\Content.Outlook\UPQ7PFTU\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eter.Carney\AppData\Local\Microsoft\Windows\Temporary Internet Files\Content.Outlook\UPQ7PFTU\Cover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2948" cy="7137755"/>
                        </a:xfrm>
                        <a:prstGeom prst="rect">
                          <a:avLst/>
                        </a:prstGeom>
                        <a:noFill/>
                        <a:ln>
                          <a:noFill/>
                        </a:ln>
                      </pic:spPr>
                    </pic:pic>
                  </a:graphicData>
                </a:graphic>
              </wp:inline>
            </w:drawing>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4648"/>
        <w:gridCol w:w="2150"/>
      </w:tblGrid>
      <w:tr w:rsidR="007573A1" w:rsidRPr="0010002D" w:rsidTr="00DE5D28">
        <w:trPr>
          <w:trHeight w:val="2314"/>
        </w:trPr>
        <w:tc>
          <w:tcPr>
            <w:tcW w:w="3398" w:type="dxa"/>
          </w:tcPr>
          <w:sdt>
            <w:sdtPr>
              <w:rPr>
                <w:noProof/>
              </w:rPr>
              <w:alias w:val="Cover Front Logo"/>
              <w:tag w:val="CoverFrontLogo"/>
              <w:id w:val="19269251"/>
              <w:picture/>
            </w:sdtPr>
            <w:sdtEndPr/>
            <w:sdtContent>
              <w:p w:rsidR="007573A1" w:rsidRPr="0010002D" w:rsidRDefault="000568C9" w:rsidP="00C350BA">
                <w:r w:rsidRPr="0010002D">
                  <w:rPr>
                    <w:noProof/>
                    <w:lang w:val="en-AU" w:eastAsia="en-AU"/>
                  </w:rPr>
                  <w:drawing>
                    <wp:inline distT="0" distB="0" distL="0" distR="0">
                      <wp:extent cx="1331979" cy="295532"/>
                      <wp:effectExtent l="0" t="0" r="1905" b="9525"/>
                      <wp:docPr id="225" name="Picture 2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1979" cy="295532"/>
                              </a:xfrm>
                              <a:prstGeom prst="rect">
                                <a:avLst/>
                              </a:prstGeom>
                            </pic:spPr>
                          </pic:pic>
                        </a:graphicData>
                      </a:graphic>
                    </wp:inline>
                  </w:drawing>
                </w:r>
              </w:p>
            </w:sdtContent>
          </w:sdt>
        </w:tc>
        <w:tc>
          <w:tcPr>
            <w:tcW w:w="4648" w:type="dxa"/>
          </w:tcPr>
          <w:p w:rsidR="00FC083D" w:rsidRPr="0010002D" w:rsidRDefault="00BD7841" w:rsidP="00C350BA">
            <w:pPr>
              <w:rPr>
                <w:rFonts w:eastAsiaTheme="minorEastAsia"/>
                <w:b/>
              </w:rPr>
            </w:pPr>
            <w:r w:rsidRPr="0010002D">
              <w:rPr>
                <w:rFonts w:eastAsiaTheme="minorEastAsia"/>
                <w:b/>
              </w:rPr>
              <w:t>Project:</w:t>
            </w:r>
            <w:r w:rsidR="00125423" w:rsidRPr="0010002D">
              <w:rPr>
                <w:rFonts w:eastAsiaTheme="minorEastAsia"/>
              </w:rPr>
              <w:t xml:space="preserve"> </w:t>
            </w:r>
            <w:sdt>
              <w:sdtPr>
                <w:rPr>
                  <w:rStyle w:val="PlaceholderText"/>
                  <w:color w:val="353D30" w:themeColor="accent2"/>
                  <w:sz w:val="26"/>
                  <w:szCs w:val="26"/>
                </w:rPr>
                <w:alias w:val="Project Name"/>
                <w:tag w:val="ProjectName"/>
                <w:id w:val="358866430"/>
                <w:dataBinding w:xpath="/root[1]/projectname[1]" w:storeItemID="{FFD81A59-B074-45B3-B3B7-CA5E6F5AEDEE}"/>
                <w:text/>
              </w:sdtPr>
              <w:sdtEndPr>
                <w:rPr>
                  <w:rStyle w:val="PlaceholderText"/>
                </w:rPr>
              </w:sdtEndPr>
              <w:sdtContent>
                <w:r w:rsidR="00622A3D">
                  <w:rPr>
                    <w:rStyle w:val="PlaceholderText"/>
                    <w:color w:val="353D30" w:themeColor="accent2"/>
                    <w:sz w:val="26"/>
                    <w:szCs w:val="26"/>
                    <w:lang w:val="en-AU"/>
                  </w:rPr>
                  <w:t>Freight Logistics Coordination Team Major Consultancy Support to Work Program</w:t>
                </w:r>
              </w:sdtContent>
            </w:sdt>
          </w:p>
          <w:p w:rsidR="007573A1" w:rsidRPr="0010002D" w:rsidRDefault="001474D4" w:rsidP="00C350BA">
            <w:pPr>
              <w:rPr>
                <w:b/>
                <w:sz w:val="26"/>
                <w:szCs w:val="26"/>
              </w:rPr>
            </w:pPr>
            <w:sdt>
              <w:sdtPr>
                <w:alias w:val="Project Details"/>
                <w:tag w:val="ProjectDetails"/>
                <w:id w:val="358866432"/>
                <w:dataBinding w:xpath="/root[1]/projectdetails[1]" w:storeItemID="{FFD81A59-B074-45B3-B3B7-CA5E6F5AEDEE}"/>
                <w:text w:multiLine="1"/>
              </w:sdtPr>
              <w:sdtEndPr/>
              <w:sdtContent>
                <w:r w:rsidR="00331936">
                  <w:rPr>
                    <w:lang w:val="en-AU"/>
                  </w:rPr>
                  <w:t>Tasmania</w:t>
                </w:r>
                <w:r w:rsidR="00135DD2">
                  <w:rPr>
                    <w:lang w:val="en-AU"/>
                  </w:rPr>
                  <w:t>n Shipping and Ports</w:t>
                </w:r>
              </w:sdtContent>
            </w:sdt>
          </w:p>
        </w:tc>
        <w:tc>
          <w:tcPr>
            <w:tcW w:w="2150" w:type="dxa"/>
          </w:tcPr>
          <w:p w:rsidR="00FC083D" w:rsidRPr="0010002D" w:rsidRDefault="00A910CD" w:rsidP="00C350BA">
            <w:pPr>
              <w:rPr>
                <w:rStyle w:val="PlaceholderText"/>
                <w:color w:val="353D30" w:themeColor="accent2"/>
                <w:sz w:val="16"/>
                <w:szCs w:val="16"/>
              </w:rPr>
            </w:pPr>
            <w:r w:rsidRPr="0010002D">
              <w:t>Reference</w:t>
            </w:r>
            <w:r w:rsidR="007573A1" w:rsidRPr="0010002D">
              <w:t>:</w:t>
            </w:r>
            <w:r w:rsidR="00BD7841" w:rsidRPr="0010002D">
              <w:t xml:space="preserve"> </w:t>
            </w:r>
            <w:sdt>
              <w:sdtPr>
                <w:rPr>
                  <w:rStyle w:val="PlaceholderText"/>
                  <w:color w:val="353D30" w:themeColor="accent2"/>
                  <w:sz w:val="16"/>
                  <w:szCs w:val="16"/>
                </w:rPr>
                <w:alias w:val="Project Number"/>
                <w:tag w:val="ProjectNo"/>
                <w:id w:val="358866422"/>
                <w:dataBinding w:xpath="/root[1]/projectno[1]" w:storeItemID="{FFD81A59-B074-45B3-B3B7-CA5E6F5AEDEE}"/>
                <w:text/>
              </w:sdtPr>
              <w:sdtEndPr>
                <w:rPr>
                  <w:rStyle w:val="PlaceholderText"/>
                </w:rPr>
              </w:sdtEndPr>
              <w:sdtContent>
                <w:r w:rsidR="00622A3D">
                  <w:rPr>
                    <w:rStyle w:val="PlaceholderText"/>
                    <w:color w:val="353D30" w:themeColor="accent2"/>
                    <w:sz w:val="16"/>
                    <w:szCs w:val="16"/>
                    <w:lang w:val="en-AU"/>
                  </w:rPr>
                  <w:t>234986</w:t>
                </w:r>
              </w:sdtContent>
            </w:sdt>
          </w:p>
          <w:p w:rsidR="00A910CD" w:rsidRPr="0010002D" w:rsidRDefault="00A910CD" w:rsidP="00DE5D28">
            <w:pPr>
              <w:spacing w:after="0"/>
              <w:jc w:val="left"/>
            </w:pPr>
            <w:r w:rsidRPr="0010002D">
              <w:rPr>
                <w:b/>
              </w:rPr>
              <w:t xml:space="preserve">Prepared for: </w:t>
            </w:r>
            <w:sdt>
              <w:sdtPr>
                <w:alias w:val="Client Name"/>
                <w:tag w:val="ClientName"/>
                <w:id w:val="358866425"/>
                <w:dataBinding w:xpath="/root[1]/client[1]" w:storeItemID="{FFD81A59-B074-45B3-B3B7-CA5E6F5AEDEE}"/>
                <w:text/>
              </w:sdtPr>
              <w:sdtEndPr/>
              <w:sdtContent>
                <w:r w:rsidR="00622A3D">
                  <w:rPr>
                    <w:lang w:val="en-AU"/>
                  </w:rPr>
                  <w:t>Department of Infrastructure, Energy and Resources</w:t>
                </w:r>
              </w:sdtContent>
            </w:sdt>
          </w:p>
          <w:p w:rsidR="00FC083D" w:rsidRPr="0010002D" w:rsidRDefault="002F61A6" w:rsidP="00C350BA">
            <w:r w:rsidRPr="0010002D">
              <w:t xml:space="preserve">Revision: </w:t>
            </w:r>
            <w:sdt>
              <w:sdtPr>
                <w:rPr>
                  <w:rFonts w:cstheme="minorBidi"/>
                  <w:bCs/>
                </w:rPr>
                <w:alias w:val="Current Revision"/>
                <w:tag w:val="CurrentRevision"/>
                <w:id w:val="-822971842"/>
                <w:dataBinding w:xpath="/root[1]/revision[1]" w:storeItemID="{FFD81A59-B074-45B3-B3B7-CA5E6F5AEDEE}"/>
                <w:text/>
              </w:sdtPr>
              <w:sdtEndPr/>
              <w:sdtContent>
                <w:r w:rsidR="00622A3D">
                  <w:rPr>
                    <w:rFonts w:cstheme="minorBidi"/>
                    <w:bCs/>
                    <w:lang w:val="en-AU"/>
                  </w:rPr>
                  <w:t>0</w:t>
                </w:r>
              </w:sdtContent>
            </w:sdt>
          </w:p>
          <w:p w:rsidR="007573A1" w:rsidRPr="0010002D" w:rsidRDefault="001474D4" w:rsidP="00C350BA">
            <w:sdt>
              <w:sdtPr>
                <w:alias w:val="Report Date"/>
                <w:tag w:val="Date"/>
                <w:id w:val="892074774"/>
                <w:dataBinding w:xpath="/root[1]/date[1]" w:storeItemID="{FFD81A59-B074-45B3-B3B7-CA5E6F5AEDEE}"/>
                <w:date w:fullDate="2013-09-09T00:00:00Z">
                  <w:dateFormat w:val="d MMMM yyyy"/>
                  <w:lid w:val="en-AU"/>
                  <w:storeMappedDataAs w:val="dateTime"/>
                  <w:calendar w:val="gregorian"/>
                </w:date>
              </w:sdtPr>
              <w:sdtEndPr/>
              <w:sdtContent>
                <w:r w:rsidR="00135DD2">
                  <w:rPr>
                    <w:lang w:val="en-AU"/>
                  </w:rPr>
                  <w:t>9 September 2013</w:t>
                </w:r>
              </w:sdtContent>
            </w:sdt>
          </w:p>
        </w:tc>
      </w:tr>
    </w:tbl>
    <w:p w:rsidR="005064ED" w:rsidRPr="0010002D" w:rsidRDefault="005064ED" w:rsidP="00C350BA">
      <w:pPr>
        <w:sectPr w:rsidR="005064ED" w:rsidRPr="0010002D" w:rsidSect="009948EB">
          <w:headerReference w:type="even" r:id="rId16"/>
          <w:footerReference w:type="default" r:id="rId17"/>
          <w:headerReference w:type="first" r:id="rId18"/>
          <w:pgSz w:w="11907" w:h="16839" w:code="9"/>
          <w:pgMar w:top="567" w:right="680" w:bottom="680" w:left="1247" w:header="284" w:footer="397" w:gutter="0"/>
          <w:cols w:space="720"/>
          <w:docGrid w:linePitch="360"/>
        </w:sectPr>
      </w:pPr>
    </w:p>
    <w:p w:rsidR="004D1676" w:rsidRPr="0010002D" w:rsidRDefault="004D1676" w:rsidP="00DE5D28">
      <w:pPr>
        <w:spacing w:after="0" w:line="240" w:lineRule="auto"/>
      </w:pPr>
      <w:r w:rsidRPr="0010002D">
        <w:lastRenderedPageBreak/>
        <w:t>Document Control Record</w:t>
      </w:r>
    </w:p>
    <w:p w:rsidR="00A62146" w:rsidRPr="0010002D" w:rsidRDefault="005064ED" w:rsidP="00DE5D28">
      <w:pPr>
        <w:spacing w:after="0" w:line="240" w:lineRule="auto"/>
      </w:pPr>
      <w:r w:rsidRPr="0010002D">
        <w:t>Document prepared by:</w:t>
      </w:r>
    </w:p>
    <w:p w:rsidR="009E5202" w:rsidRPr="0010002D" w:rsidRDefault="001474D4" w:rsidP="00DE5D28">
      <w:pPr>
        <w:spacing w:after="0" w:line="240" w:lineRule="auto"/>
      </w:pPr>
      <w:sdt>
        <w:sdtPr>
          <w:alias w:val="Company Name"/>
          <w:tag w:val="CompanyName"/>
          <w:id w:val="365047719"/>
          <w:dataBinding w:xpath="/root[1]/company[1]/companyname[1]" w:storeItemID="{FFD81A59-B074-45B3-B3B7-CA5E6F5AEDEE}"/>
          <w:text w:multiLine="1"/>
        </w:sdtPr>
        <w:sdtEndPr/>
        <w:sdtContent>
          <w:r w:rsidR="00622A3D">
            <w:rPr>
              <w:lang w:val="en-AU"/>
            </w:rPr>
            <w:t>Aurecon Australia Pty Ltd</w:t>
          </w:r>
        </w:sdtContent>
      </w:sdt>
    </w:p>
    <w:p w:rsidR="009E5202" w:rsidRPr="0010002D" w:rsidRDefault="001474D4" w:rsidP="00DE5D28">
      <w:pPr>
        <w:spacing w:after="0" w:line="240" w:lineRule="auto"/>
      </w:pPr>
      <w:sdt>
        <w:sdtPr>
          <w:alias w:val="Company ABN"/>
          <w:tag w:val="CompanyABN"/>
          <w:id w:val="115259226"/>
          <w:dataBinding w:xpath="/root[1]/company[1]/companyabn[1]" w:storeItemID="{FFD81A59-B074-45B3-B3B7-CA5E6F5AEDEE}"/>
          <w:text w:multiLine="1"/>
        </w:sdtPr>
        <w:sdtEndPr/>
        <w:sdtContent>
          <w:r w:rsidR="00622A3D">
            <w:rPr>
              <w:lang w:val="en-AU"/>
            </w:rPr>
            <w:t>ABN 54 005 139 873</w:t>
          </w:r>
        </w:sdtContent>
      </w:sdt>
    </w:p>
    <w:p w:rsidR="009E5202" w:rsidRPr="0010002D" w:rsidRDefault="003B17FC" w:rsidP="00DE5D28">
      <w:pPr>
        <w:spacing w:after="0" w:line="240" w:lineRule="auto"/>
      </w:pPr>
      <w:r>
        <w:rPr>
          <w:lang w:val="en-AU"/>
        </w:rPr>
        <w:t>Aurecon Centre</w:t>
      </w:r>
      <w:r>
        <w:rPr>
          <w:lang w:val="en-AU"/>
        </w:rPr>
        <w:br/>
        <w:t>Level 8, 850 Collins Street</w:t>
      </w:r>
      <w:r>
        <w:rPr>
          <w:lang w:val="en-AU"/>
        </w:rPr>
        <w:br/>
        <w:t>Docklands VIC 3008</w:t>
      </w:r>
    </w:p>
    <w:p w:rsidR="009E5202" w:rsidRPr="0010002D" w:rsidRDefault="003B17FC" w:rsidP="00DE5D28">
      <w:pPr>
        <w:spacing w:after="0" w:line="240" w:lineRule="auto"/>
      </w:pPr>
      <w:r>
        <w:rPr>
          <w:lang w:val="en-AU"/>
        </w:rPr>
        <w:t>PO Box 23061</w:t>
      </w:r>
      <w:r>
        <w:rPr>
          <w:lang w:val="en-AU"/>
        </w:rPr>
        <w:br/>
        <w:t>Docklands VIC 8012</w:t>
      </w:r>
      <w:r w:rsidR="009E5202" w:rsidRPr="0010002D">
        <w:t xml:space="preserve"> </w:t>
      </w:r>
    </w:p>
    <w:p w:rsidR="005064ED" w:rsidRPr="0010002D" w:rsidRDefault="001474D4" w:rsidP="00DE5D28">
      <w:pPr>
        <w:spacing w:after="0" w:line="240" w:lineRule="auto"/>
      </w:pPr>
      <w:sdt>
        <w:sdtPr>
          <w:alias w:val="Company Address Line 3"/>
          <w:tag w:val="CompanyAddress3"/>
          <w:id w:val="365047731"/>
          <w:dataBinding w:xpath="/root[1]/company[1]/companyaddress3[1]" w:storeItemID="{FFD81A59-B074-45B3-B3B7-CA5E6F5AEDEE}"/>
          <w:text w:multiLine="1"/>
        </w:sdtPr>
        <w:sdtEndPr/>
        <w:sdtContent>
          <w:r w:rsidR="00622A3D">
            <w:rPr>
              <w:lang w:val="en-AU"/>
            </w:rPr>
            <w:t>Australia</w:t>
          </w:r>
        </w:sdtContent>
      </w:sdt>
    </w:p>
    <w:p w:rsidR="00E1451A" w:rsidRPr="0010002D" w:rsidRDefault="00E1451A" w:rsidP="00DE5D28">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
        <w:gridCol w:w="8838"/>
      </w:tblGrid>
      <w:tr w:rsidR="00366334" w:rsidRPr="0010002D" w:rsidTr="00366334">
        <w:trPr>
          <w:trHeight w:val="864"/>
        </w:trPr>
        <w:tc>
          <w:tcPr>
            <w:tcW w:w="405" w:type="dxa"/>
          </w:tcPr>
          <w:p w:rsidR="00366334" w:rsidRPr="0010002D" w:rsidRDefault="00366334" w:rsidP="00DE5D28">
            <w:pPr>
              <w:spacing w:after="0"/>
              <w:rPr>
                <w:rStyle w:val="Strong"/>
              </w:rPr>
            </w:pPr>
            <w:r w:rsidRPr="0010002D">
              <w:rPr>
                <w:rStyle w:val="Strong"/>
              </w:rPr>
              <w:t>T</w:t>
            </w:r>
            <w:r w:rsidRPr="0010002D">
              <w:rPr>
                <w:rStyle w:val="Strong"/>
              </w:rPr>
              <w:br/>
              <w:t>F</w:t>
            </w:r>
            <w:r w:rsidRPr="0010002D">
              <w:rPr>
                <w:rStyle w:val="Strong"/>
              </w:rPr>
              <w:br/>
              <w:t>E</w:t>
            </w:r>
            <w:r w:rsidRPr="0010002D">
              <w:rPr>
                <w:rStyle w:val="Strong"/>
              </w:rPr>
              <w:br/>
            </w:r>
            <w:r w:rsidR="00D956DE" w:rsidRPr="0010002D">
              <w:rPr>
                <w:rStyle w:val="Strong"/>
              </w:rPr>
              <w:t>W</w:t>
            </w:r>
          </w:p>
        </w:tc>
        <w:tc>
          <w:tcPr>
            <w:tcW w:w="8838" w:type="dxa"/>
          </w:tcPr>
          <w:p w:rsidR="00366334" w:rsidRPr="0010002D" w:rsidRDefault="001474D4" w:rsidP="00DE5D28">
            <w:pPr>
              <w:spacing w:after="0"/>
            </w:pPr>
            <w:sdt>
              <w:sdtPr>
                <w:alias w:val="Company Telephone"/>
                <w:tag w:val="CompanyTelephone"/>
                <w:id w:val="433262361"/>
                <w:dataBinding w:xpath="/root[1]/company[1]/companytelephone[1]" w:storeItemID="{FFD81A59-B074-45B3-B3B7-CA5E6F5AEDEE}"/>
                <w:text/>
              </w:sdtPr>
              <w:sdtEndPr/>
              <w:sdtContent>
                <w:r w:rsidR="00622A3D">
                  <w:rPr>
                    <w:lang w:val="en-AU"/>
                  </w:rPr>
                  <w:t>+61 3 9975 3000</w:t>
                </w:r>
              </w:sdtContent>
            </w:sdt>
            <w:r w:rsidR="00EB0434" w:rsidRPr="0010002D">
              <w:br/>
            </w:r>
            <w:sdt>
              <w:sdtPr>
                <w:alias w:val="Company Fax"/>
                <w:tag w:val="CompanyFax"/>
                <w:id w:val="433262362"/>
                <w:dataBinding w:xpath="/root[1]/company[1]/companyfax[1]" w:storeItemID="{FFD81A59-B074-45B3-B3B7-CA5E6F5AEDEE}"/>
                <w:text/>
              </w:sdtPr>
              <w:sdtEndPr/>
              <w:sdtContent>
                <w:r w:rsidR="00622A3D">
                  <w:rPr>
                    <w:lang w:val="en-AU"/>
                  </w:rPr>
                  <w:t>+61 3 9975 3444</w:t>
                </w:r>
              </w:sdtContent>
            </w:sdt>
            <w:r w:rsidR="00EB0434" w:rsidRPr="0010002D">
              <w:br/>
            </w:r>
            <w:sdt>
              <w:sdtPr>
                <w:alias w:val="Company Email"/>
                <w:tag w:val="CompanyEmail"/>
                <w:id w:val="433262363"/>
                <w:dataBinding w:xpath="/root[1]/company[1]/companyemail[1]" w:storeItemID="{FFD81A59-B074-45B3-B3B7-CA5E6F5AEDEE}"/>
                <w:text/>
              </w:sdtPr>
              <w:sdtEndPr/>
              <w:sdtContent>
                <w:r w:rsidR="00622A3D">
                  <w:rPr>
                    <w:lang w:val="en-AU"/>
                  </w:rPr>
                  <w:t>melbourne@aurecongroup.com</w:t>
                </w:r>
              </w:sdtContent>
            </w:sdt>
            <w:r w:rsidR="00EB0434" w:rsidRPr="0010002D">
              <w:br/>
            </w:r>
            <w:sdt>
              <w:sdtPr>
                <w:alias w:val="Company Website"/>
                <w:tag w:val="CompanyWeb"/>
                <w:id w:val="433262364"/>
                <w:dataBinding w:xpath="/root[1]/company[1]/companyweb[1]" w:storeItemID="{FFD81A59-B074-45B3-B3B7-CA5E6F5AEDEE}"/>
                <w:text/>
              </w:sdtPr>
              <w:sdtEndPr/>
              <w:sdtContent>
                <w:r w:rsidR="00622A3D">
                  <w:rPr>
                    <w:lang w:val="en-AU"/>
                  </w:rPr>
                  <w:t>aurecongroup.com</w:t>
                </w:r>
              </w:sdtContent>
            </w:sdt>
          </w:p>
        </w:tc>
      </w:tr>
    </w:tbl>
    <w:p w:rsidR="002107B1" w:rsidRPr="0010002D" w:rsidRDefault="002107B1" w:rsidP="00DE5D28">
      <w:pPr>
        <w:spacing w:after="0" w:line="240" w:lineRule="auto"/>
      </w:pPr>
      <w:r w:rsidRPr="0010002D">
        <w:t xml:space="preserve">A person using </w:t>
      </w:r>
      <w:sdt>
        <w:sdtPr>
          <w:alias w:val="Disclaimer"/>
          <w:tag w:val="Disclaimer"/>
          <w:id w:val="-1661836594"/>
          <w:dataBinding w:xpath="/root[1]/disclaimer[1]" w:storeItemID="{FFD81A59-B074-45B3-B3B7-CA5E6F5AEDEE}"/>
          <w:text/>
        </w:sdtPr>
        <w:sdtEndPr/>
        <w:sdtContent>
          <w:r w:rsidR="00622A3D">
            <w:rPr>
              <w:lang w:val="en-AU"/>
            </w:rPr>
            <w:t>Aurecon</w:t>
          </w:r>
        </w:sdtContent>
      </w:sdt>
      <w:r w:rsidRPr="0010002D">
        <w:t xml:space="preserve"> documents or data accepts the risk of:</w:t>
      </w:r>
    </w:p>
    <w:p w:rsidR="002107B1" w:rsidRPr="0010002D" w:rsidRDefault="002107B1" w:rsidP="00DE5D28">
      <w:pPr>
        <w:pStyle w:val="ListParagraph"/>
        <w:numPr>
          <w:ilvl w:val="0"/>
          <w:numId w:val="1"/>
        </w:numPr>
        <w:spacing w:after="0" w:line="240" w:lineRule="auto"/>
        <w:rPr>
          <w:rStyle w:val="Strong"/>
          <w:b w:val="0"/>
          <w:sz w:val="16"/>
          <w:szCs w:val="16"/>
        </w:rPr>
      </w:pPr>
      <w:r w:rsidRPr="0010002D">
        <w:rPr>
          <w:rStyle w:val="Strong"/>
          <w:b w:val="0"/>
          <w:sz w:val="16"/>
          <w:szCs w:val="16"/>
        </w:rPr>
        <w:t>Using the documents or data in electronic form without requesting and checking them for accuracy against the original hard copy version.</w:t>
      </w:r>
    </w:p>
    <w:p w:rsidR="002107B1" w:rsidRPr="0010002D" w:rsidRDefault="002107B1" w:rsidP="00DE5D28">
      <w:pPr>
        <w:pStyle w:val="ListParagraph"/>
        <w:numPr>
          <w:ilvl w:val="0"/>
          <w:numId w:val="1"/>
        </w:numPr>
        <w:spacing w:after="0" w:line="240" w:lineRule="auto"/>
        <w:rPr>
          <w:rStyle w:val="Strong"/>
          <w:b w:val="0"/>
          <w:bCs w:val="0"/>
          <w:sz w:val="16"/>
          <w:szCs w:val="16"/>
        </w:rPr>
      </w:pPr>
      <w:r w:rsidRPr="0010002D">
        <w:rPr>
          <w:rStyle w:val="Strong"/>
          <w:b w:val="0"/>
          <w:sz w:val="16"/>
          <w:szCs w:val="16"/>
        </w:rPr>
        <w:t xml:space="preserve">Using the documents or data for any purpose not agreed to in writing by </w:t>
      </w:r>
      <w:sdt>
        <w:sdtPr>
          <w:alias w:val="Disclaimer"/>
          <w:tag w:val="Disclaimer"/>
          <w:id w:val="1255469212"/>
          <w:dataBinding w:xpath="/root[1]/disclaimer[1]" w:storeItemID="{FFD81A59-B074-45B3-B3B7-CA5E6F5AEDEE}"/>
          <w:text/>
        </w:sdtPr>
        <w:sdtEndPr/>
        <w:sdtContent>
          <w:r w:rsidR="00622A3D">
            <w:rPr>
              <w:lang w:val="en-AU"/>
            </w:rPr>
            <w:t>Aurecon</w:t>
          </w:r>
        </w:sdtContent>
      </w:sdt>
      <w:r w:rsidRPr="0010002D">
        <w:rPr>
          <w:rStyle w:val="Strong"/>
          <w:b w:val="0"/>
          <w:sz w:val="16"/>
          <w:szCs w:val="16"/>
        </w:rPr>
        <w:t>.</w:t>
      </w:r>
    </w:p>
    <w:p w:rsidR="004D1676" w:rsidRPr="0010002D" w:rsidRDefault="004D1676" w:rsidP="00DE5D28">
      <w:pPr>
        <w:spacing w:after="0" w:line="240" w:lineRule="auto"/>
      </w:pPr>
    </w:p>
    <w:tbl>
      <w:tblPr>
        <w:tblStyle w:val="TableGrid"/>
        <w:tblW w:w="5000" w:type="pct"/>
        <w:tblBorders>
          <w:top w:val="single" w:sz="6" w:space="0" w:color="BABFB7" w:themeColor="accent3"/>
          <w:left w:val="single" w:sz="6" w:space="0" w:color="BABFB7" w:themeColor="accent3"/>
          <w:bottom w:val="single" w:sz="6" w:space="0" w:color="BABFB7" w:themeColor="accent3"/>
          <w:right w:val="single" w:sz="6" w:space="0" w:color="BABFB7" w:themeColor="accent3"/>
          <w:insideH w:val="single" w:sz="6" w:space="0" w:color="BABFB7" w:themeColor="accent3"/>
          <w:insideV w:val="single" w:sz="6" w:space="0" w:color="BABFB7" w:themeColor="accent3"/>
        </w:tblBorders>
        <w:tblLayout w:type="fixed"/>
        <w:tblLook w:val="0620" w:firstRow="1" w:lastRow="0" w:firstColumn="0" w:lastColumn="0" w:noHBand="1" w:noVBand="1"/>
      </w:tblPr>
      <w:tblGrid>
        <w:gridCol w:w="555"/>
        <w:gridCol w:w="1681"/>
        <w:gridCol w:w="2576"/>
        <w:gridCol w:w="1282"/>
        <w:gridCol w:w="997"/>
        <w:gridCol w:w="1098"/>
        <w:gridCol w:w="1098"/>
      </w:tblGrid>
      <w:tr w:rsidR="00307320" w:rsidRPr="0010002D" w:rsidTr="00BD456E">
        <w:trPr>
          <w:trHeight w:val="549"/>
        </w:trPr>
        <w:tc>
          <w:tcPr>
            <w:tcW w:w="5000" w:type="pct"/>
            <w:gridSpan w:val="7"/>
            <w:shd w:val="clear" w:color="auto" w:fill="353D30" w:themeFill="accent2"/>
            <w:vAlign w:val="center"/>
          </w:tcPr>
          <w:p w:rsidR="00307320" w:rsidRPr="0010002D" w:rsidRDefault="00307320" w:rsidP="00C350BA">
            <w:pPr>
              <w:pStyle w:val="NoSpacing"/>
              <w:rPr>
                <w:rStyle w:val="Strong"/>
              </w:rPr>
            </w:pPr>
            <w:r w:rsidRPr="0010002D">
              <w:rPr>
                <w:rStyle w:val="Strong"/>
              </w:rPr>
              <w:t>Document control</w:t>
            </w:r>
            <w:r w:rsidRPr="0010002D">
              <w:rPr>
                <w:noProof/>
              </w:rPr>
              <w:tab/>
            </w:r>
            <w:sdt>
              <w:sdtPr>
                <w:rPr>
                  <w:noProof/>
                </w:rPr>
                <w:alias w:val="Document Control Image"/>
                <w:tag w:val="DocumentControlImage"/>
                <w:id w:val="19269252"/>
                <w:picture/>
              </w:sdtPr>
              <w:sdtEndPr/>
              <w:sdtContent>
                <w:r w:rsidRPr="0010002D">
                  <w:rPr>
                    <w:noProof/>
                    <w:lang w:val="en-AU" w:eastAsia="en-AU"/>
                  </w:rPr>
                  <w:drawing>
                    <wp:inline distT="0" distB="0" distL="0" distR="0">
                      <wp:extent cx="719324" cy="158495"/>
                      <wp:effectExtent l="0" t="0" r="5080" b="0"/>
                      <wp:docPr id="515" name="Picture 5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9324" cy="158495"/>
                              </a:xfrm>
                              <a:prstGeom prst="rect">
                                <a:avLst/>
                              </a:prstGeom>
                            </pic:spPr>
                          </pic:pic>
                        </a:graphicData>
                      </a:graphic>
                    </wp:inline>
                  </w:drawing>
                </w:r>
              </w:sdtContent>
            </w:sdt>
          </w:p>
        </w:tc>
      </w:tr>
      <w:tr w:rsidR="004D1676" w:rsidRPr="0010002D" w:rsidTr="00BD456E">
        <w:trPr>
          <w:trHeight w:val="397"/>
        </w:trPr>
        <w:tc>
          <w:tcPr>
            <w:tcW w:w="1204" w:type="pct"/>
            <w:gridSpan w:val="2"/>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F1F8E5" w:themeFill="background2"/>
            <w:vAlign w:val="center"/>
            <w:hideMark/>
          </w:tcPr>
          <w:p w:rsidR="004D1676" w:rsidRPr="0082579E" w:rsidRDefault="004D1676" w:rsidP="00DE5D28">
            <w:pPr>
              <w:spacing w:after="0"/>
              <w:rPr>
                <w:rStyle w:val="Strong"/>
                <w:sz w:val="18"/>
                <w:szCs w:val="18"/>
              </w:rPr>
            </w:pPr>
            <w:r w:rsidRPr="0082579E">
              <w:rPr>
                <w:rStyle w:val="Strong"/>
                <w:sz w:val="18"/>
                <w:szCs w:val="18"/>
              </w:rPr>
              <w:t>Report Title</w:t>
            </w:r>
          </w:p>
        </w:tc>
        <w:tc>
          <w:tcPr>
            <w:tcW w:w="3796" w:type="pct"/>
            <w:gridSpan w:val="5"/>
            <w:tcBorders>
              <w:top w:val="single" w:sz="4" w:space="0" w:color="BABFB7" w:themeColor="accent3"/>
              <w:left w:val="single" w:sz="4" w:space="0" w:color="BABFB7" w:themeColor="accent3"/>
              <w:bottom w:val="single" w:sz="4" w:space="0" w:color="BABFB7" w:themeColor="accent3"/>
              <w:right w:val="single" w:sz="4" w:space="0" w:color="BABFB7" w:themeColor="accent3"/>
            </w:tcBorders>
            <w:vAlign w:val="center"/>
          </w:tcPr>
          <w:p w:rsidR="004D1676" w:rsidRPr="0082579E" w:rsidRDefault="001474D4" w:rsidP="00DE5D28">
            <w:pPr>
              <w:spacing w:after="0"/>
              <w:rPr>
                <w:rStyle w:val="Strong"/>
                <w:b w:val="0"/>
              </w:rPr>
            </w:pPr>
            <w:sdt>
              <w:sdtPr>
                <w:rPr>
                  <w:rStyle w:val="Strong"/>
                  <w:b w:val="0"/>
                </w:rPr>
                <w:alias w:val="Project Details"/>
                <w:tag w:val="ProjectDetails"/>
                <w:id w:val="-1516769013"/>
                <w:dataBinding w:xpath="/root[1]/projectdetails[1]" w:storeItemID="{FFD81A59-B074-45B3-B3B7-CA5E6F5AEDEE}"/>
                <w:text w:multiLine="1"/>
              </w:sdtPr>
              <w:sdtEndPr>
                <w:rPr>
                  <w:rStyle w:val="Strong"/>
                </w:rPr>
              </w:sdtEndPr>
              <w:sdtContent>
                <w:r w:rsidR="00135DD2" w:rsidRPr="0082579E">
                  <w:rPr>
                    <w:rStyle w:val="Strong"/>
                    <w:b w:val="0"/>
                    <w:lang w:val="en-AU"/>
                  </w:rPr>
                  <w:t>Tasmanian Shipping and Ports</w:t>
                </w:r>
              </w:sdtContent>
            </w:sdt>
          </w:p>
        </w:tc>
      </w:tr>
      <w:tr w:rsidR="004D1676" w:rsidRPr="0010002D" w:rsidTr="00BD456E">
        <w:trPr>
          <w:trHeight w:val="397"/>
        </w:trPr>
        <w:tc>
          <w:tcPr>
            <w:tcW w:w="1204" w:type="pct"/>
            <w:gridSpan w:val="2"/>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F1F8E5" w:themeFill="background2"/>
            <w:vAlign w:val="center"/>
            <w:hideMark/>
          </w:tcPr>
          <w:p w:rsidR="004D1676" w:rsidRPr="0082579E" w:rsidRDefault="004D1676" w:rsidP="00DE5D28">
            <w:pPr>
              <w:spacing w:after="0"/>
              <w:rPr>
                <w:rStyle w:val="Strong"/>
                <w:sz w:val="18"/>
                <w:szCs w:val="18"/>
              </w:rPr>
            </w:pPr>
            <w:r w:rsidRPr="0082579E">
              <w:rPr>
                <w:rStyle w:val="Strong"/>
                <w:sz w:val="18"/>
                <w:szCs w:val="18"/>
              </w:rPr>
              <w:t>Document ID</w:t>
            </w:r>
          </w:p>
        </w:tc>
        <w:tc>
          <w:tcPr>
            <w:tcW w:w="1387"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vAlign w:val="center"/>
          </w:tcPr>
          <w:p w:rsidR="004D1676" w:rsidRPr="0082579E" w:rsidRDefault="004D1676" w:rsidP="00DE5D28">
            <w:pPr>
              <w:spacing w:after="0"/>
              <w:rPr>
                <w:rStyle w:val="Strong"/>
                <w:b w:val="0"/>
              </w:rPr>
            </w:pPr>
          </w:p>
        </w:tc>
        <w:tc>
          <w:tcPr>
            <w:tcW w:w="1227" w:type="pct"/>
            <w:gridSpan w:val="2"/>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F1F8E5" w:themeFill="background2"/>
            <w:vAlign w:val="center"/>
            <w:hideMark/>
          </w:tcPr>
          <w:p w:rsidR="004D1676" w:rsidRPr="0082579E" w:rsidRDefault="004D1676" w:rsidP="00DE5D28">
            <w:pPr>
              <w:spacing w:after="0"/>
              <w:rPr>
                <w:rStyle w:val="Strong"/>
                <w:sz w:val="18"/>
                <w:szCs w:val="18"/>
              </w:rPr>
            </w:pPr>
            <w:r w:rsidRPr="0082579E">
              <w:rPr>
                <w:rStyle w:val="Strong"/>
                <w:sz w:val="18"/>
                <w:szCs w:val="18"/>
              </w:rPr>
              <w:t>Project Number</w:t>
            </w:r>
          </w:p>
        </w:tc>
        <w:tc>
          <w:tcPr>
            <w:tcW w:w="1182" w:type="pct"/>
            <w:gridSpan w:val="2"/>
            <w:tcBorders>
              <w:top w:val="single" w:sz="4" w:space="0" w:color="BABFB7" w:themeColor="accent3"/>
              <w:left w:val="single" w:sz="4" w:space="0" w:color="BABFB7" w:themeColor="accent3"/>
              <w:bottom w:val="single" w:sz="4" w:space="0" w:color="BABFB7" w:themeColor="accent3"/>
              <w:right w:val="single" w:sz="4" w:space="0" w:color="BABFB7" w:themeColor="accent3"/>
            </w:tcBorders>
            <w:vAlign w:val="center"/>
          </w:tcPr>
          <w:p w:rsidR="004D1676" w:rsidRPr="0082579E" w:rsidRDefault="001474D4" w:rsidP="00DE5D28">
            <w:pPr>
              <w:spacing w:after="0"/>
              <w:rPr>
                <w:rStyle w:val="Strong"/>
                <w:b w:val="0"/>
              </w:rPr>
            </w:pPr>
            <w:sdt>
              <w:sdtPr>
                <w:rPr>
                  <w:rStyle w:val="Strong"/>
                  <w:b w:val="0"/>
                </w:rPr>
                <w:alias w:val="Project Number"/>
                <w:tag w:val="ProjectNo"/>
                <w:id w:val="-684123611"/>
                <w:dataBinding w:xpath="/root[1]/projectno[1]" w:storeItemID="{FFD81A59-B074-45B3-B3B7-CA5E6F5AEDEE}"/>
                <w:text/>
              </w:sdtPr>
              <w:sdtEndPr>
                <w:rPr>
                  <w:rStyle w:val="Strong"/>
                </w:rPr>
              </w:sdtEndPr>
              <w:sdtContent>
                <w:r w:rsidR="00622A3D" w:rsidRPr="0082579E">
                  <w:rPr>
                    <w:rStyle w:val="Strong"/>
                    <w:b w:val="0"/>
                    <w:lang w:val="en-AU"/>
                  </w:rPr>
                  <w:t>234986</w:t>
                </w:r>
              </w:sdtContent>
            </w:sdt>
          </w:p>
        </w:tc>
      </w:tr>
      <w:tr w:rsidR="00785FB6" w:rsidRPr="0010002D" w:rsidTr="00BD456E">
        <w:trPr>
          <w:trHeight w:val="397"/>
        </w:trPr>
        <w:tc>
          <w:tcPr>
            <w:tcW w:w="1204" w:type="pct"/>
            <w:gridSpan w:val="2"/>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F1F8E5" w:themeFill="background2"/>
            <w:vAlign w:val="center"/>
          </w:tcPr>
          <w:p w:rsidR="00785FB6" w:rsidRPr="0082579E" w:rsidRDefault="00785FB6" w:rsidP="00DE5D28">
            <w:pPr>
              <w:spacing w:after="0"/>
              <w:rPr>
                <w:rStyle w:val="Strong"/>
                <w:sz w:val="18"/>
                <w:szCs w:val="18"/>
              </w:rPr>
            </w:pPr>
            <w:r w:rsidRPr="0082579E">
              <w:rPr>
                <w:rStyle w:val="Strong"/>
                <w:sz w:val="18"/>
                <w:szCs w:val="18"/>
              </w:rPr>
              <w:t>File Path</w:t>
            </w:r>
          </w:p>
        </w:tc>
        <w:tc>
          <w:tcPr>
            <w:tcW w:w="3796" w:type="pct"/>
            <w:gridSpan w:val="5"/>
            <w:tcBorders>
              <w:top w:val="single" w:sz="4" w:space="0" w:color="BABFB7" w:themeColor="accent3"/>
              <w:left w:val="single" w:sz="4" w:space="0" w:color="BABFB7" w:themeColor="accent3"/>
              <w:bottom w:val="single" w:sz="4" w:space="0" w:color="BABFB7" w:themeColor="accent3"/>
              <w:right w:val="single" w:sz="4" w:space="0" w:color="BABFB7" w:themeColor="accent3"/>
            </w:tcBorders>
            <w:vAlign w:val="center"/>
          </w:tcPr>
          <w:p w:rsidR="00A310E1" w:rsidRPr="0082579E" w:rsidRDefault="00A310E1" w:rsidP="00DE5D28">
            <w:pPr>
              <w:spacing w:after="0"/>
              <w:rPr>
                <w:rStyle w:val="Strong"/>
                <w:b w:val="0"/>
                <w:sz w:val="18"/>
              </w:rPr>
            </w:pPr>
          </w:p>
          <w:p w:rsidR="00785FB6" w:rsidRPr="0082579E" w:rsidRDefault="001474D4" w:rsidP="00DE5D28">
            <w:pPr>
              <w:spacing w:after="0"/>
              <w:rPr>
                <w:rStyle w:val="Strong"/>
                <w:b w:val="0"/>
                <w:sz w:val="18"/>
              </w:rPr>
            </w:pPr>
            <w:r>
              <w:fldChar w:fldCharType="begin"/>
            </w:r>
            <w:r>
              <w:instrText xml:space="preserve"> FILENAME  \p  \* MERGEFORMAT </w:instrText>
            </w:r>
            <w:r>
              <w:fldChar w:fldCharType="separate"/>
            </w:r>
            <w:r w:rsidR="00404238" w:rsidRPr="0082579E">
              <w:rPr>
                <w:rStyle w:val="Strong"/>
                <w:b w:val="0"/>
                <w:noProof/>
                <w:sz w:val="18"/>
              </w:rPr>
              <w:t>P:\IND\234986 DIER - Freight Logistics\report\Final Supply Chains Report Part II 20130829 pmc version</w:t>
            </w:r>
            <w:r w:rsidR="00404238" w:rsidRPr="0082579E">
              <w:rPr>
                <w:noProof/>
              </w:rPr>
              <w:t xml:space="preserve"> under construction.docx</w:t>
            </w:r>
            <w:r>
              <w:rPr>
                <w:noProof/>
              </w:rPr>
              <w:fldChar w:fldCharType="end"/>
            </w:r>
          </w:p>
          <w:p w:rsidR="00A310E1" w:rsidRPr="0082579E" w:rsidRDefault="00A310E1" w:rsidP="00DE5D28">
            <w:pPr>
              <w:spacing w:after="0"/>
              <w:rPr>
                <w:rStyle w:val="Strong"/>
                <w:b w:val="0"/>
              </w:rPr>
            </w:pPr>
          </w:p>
        </w:tc>
      </w:tr>
      <w:tr w:rsidR="004D1676" w:rsidRPr="0010002D" w:rsidTr="00BD456E">
        <w:trPr>
          <w:trHeight w:val="397"/>
        </w:trPr>
        <w:tc>
          <w:tcPr>
            <w:tcW w:w="1204" w:type="pct"/>
            <w:gridSpan w:val="2"/>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F1F8E5" w:themeFill="background2"/>
            <w:vAlign w:val="center"/>
            <w:hideMark/>
          </w:tcPr>
          <w:p w:rsidR="004D1676" w:rsidRPr="0082579E" w:rsidRDefault="004D1676" w:rsidP="00DE5D28">
            <w:pPr>
              <w:spacing w:after="0"/>
              <w:rPr>
                <w:rStyle w:val="Strong"/>
                <w:sz w:val="18"/>
                <w:szCs w:val="18"/>
              </w:rPr>
            </w:pPr>
            <w:r w:rsidRPr="0082579E">
              <w:rPr>
                <w:rStyle w:val="Strong"/>
                <w:sz w:val="18"/>
                <w:szCs w:val="18"/>
              </w:rPr>
              <w:t>Client</w:t>
            </w:r>
          </w:p>
        </w:tc>
        <w:tc>
          <w:tcPr>
            <w:tcW w:w="1387"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vAlign w:val="center"/>
          </w:tcPr>
          <w:p w:rsidR="004D1676" w:rsidRPr="0082579E" w:rsidRDefault="001474D4" w:rsidP="00DE5D28">
            <w:pPr>
              <w:spacing w:after="0"/>
              <w:rPr>
                <w:rStyle w:val="Strong"/>
                <w:b w:val="0"/>
              </w:rPr>
            </w:pPr>
            <w:sdt>
              <w:sdtPr>
                <w:rPr>
                  <w:rStyle w:val="Strong"/>
                  <w:b w:val="0"/>
                  <w:sz w:val="18"/>
                </w:rPr>
                <w:alias w:val="Client Name"/>
                <w:tag w:val="ClientName"/>
                <w:id w:val="-1448533425"/>
                <w:dataBinding w:xpath="/root[1]/client[1]" w:storeItemID="{FFD81A59-B074-45B3-B3B7-CA5E6F5AEDEE}"/>
                <w:text/>
              </w:sdtPr>
              <w:sdtEndPr>
                <w:rPr>
                  <w:rStyle w:val="Strong"/>
                </w:rPr>
              </w:sdtEndPr>
              <w:sdtContent>
                <w:r w:rsidR="00622A3D" w:rsidRPr="0082579E">
                  <w:rPr>
                    <w:rStyle w:val="Strong"/>
                    <w:b w:val="0"/>
                    <w:sz w:val="18"/>
                    <w:lang w:val="en-AU"/>
                  </w:rPr>
                  <w:t>Department of Infrastructure, Energy and Resources</w:t>
                </w:r>
              </w:sdtContent>
            </w:sdt>
          </w:p>
        </w:tc>
        <w:tc>
          <w:tcPr>
            <w:tcW w:w="1227" w:type="pct"/>
            <w:gridSpan w:val="2"/>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F1F8E5" w:themeFill="background2"/>
            <w:vAlign w:val="center"/>
            <w:hideMark/>
          </w:tcPr>
          <w:p w:rsidR="004D1676" w:rsidRPr="0082579E" w:rsidRDefault="004D1676" w:rsidP="00DE5D28">
            <w:pPr>
              <w:spacing w:after="0"/>
              <w:rPr>
                <w:rStyle w:val="Strong"/>
                <w:b w:val="0"/>
              </w:rPr>
            </w:pPr>
            <w:r w:rsidRPr="0082579E">
              <w:rPr>
                <w:rStyle w:val="Strong"/>
                <w:sz w:val="18"/>
                <w:szCs w:val="18"/>
              </w:rPr>
              <w:t>Client Contact</w:t>
            </w:r>
          </w:p>
        </w:tc>
        <w:tc>
          <w:tcPr>
            <w:tcW w:w="1182" w:type="pct"/>
            <w:gridSpan w:val="2"/>
            <w:tcBorders>
              <w:top w:val="single" w:sz="4" w:space="0" w:color="BABFB7" w:themeColor="accent3"/>
              <w:left w:val="single" w:sz="4" w:space="0" w:color="BABFB7" w:themeColor="accent3"/>
              <w:bottom w:val="single" w:sz="4" w:space="0" w:color="BABFB7" w:themeColor="accent3"/>
              <w:right w:val="single" w:sz="4" w:space="0" w:color="BABFB7" w:themeColor="accent3"/>
            </w:tcBorders>
            <w:vAlign w:val="center"/>
          </w:tcPr>
          <w:p w:rsidR="004D1676" w:rsidRPr="0082579E" w:rsidRDefault="00D8702F" w:rsidP="00DE5D28">
            <w:pPr>
              <w:spacing w:after="0"/>
              <w:rPr>
                <w:rStyle w:val="Strong"/>
                <w:b w:val="0"/>
              </w:rPr>
            </w:pPr>
            <w:r>
              <w:rPr>
                <w:rStyle w:val="Strong"/>
                <w:b w:val="0"/>
              </w:rPr>
              <w:t>Department of Infrastructure Energy and Resources</w:t>
            </w:r>
          </w:p>
        </w:tc>
      </w:tr>
      <w:tr w:rsidR="004D1676" w:rsidRPr="0010002D" w:rsidTr="00BD456E">
        <w:trPr>
          <w:trHeight w:val="454"/>
        </w:trPr>
        <w:tc>
          <w:tcPr>
            <w:tcW w:w="299"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F1F8E5" w:themeFill="background2"/>
            <w:vAlign w:val="center"/>
            <w:hideMark/>
          </w:tcPr>
          <w:p w:rsidR="004D1676" w:rsidRPr="0082579E" w:rsidRDefault="004D1676" w:rsidP="00DE5D28">
            <w:pPr>
              <w:pStyle w:val="NoSpacing"/>
              <w:rPr>
                <w:rStyle w:val="Strong"/>
                <w:b w:val="0"/>
                <w:sz w:val="18"/>
                <w:szCs w:val="18"/>
              </w:rPr>
            </w:pPr>
            <w:r w:rsidRPr="0082579E">
              <w:rPr>
                <w:rStyle w:val="Strong"/>
                <w:sz w:val="18"/>
                <w:szCs w:val="18"/>
              </w:rPr>
              <w:t>Rev</w:t>
            </w:r>
          </w:p>
        </w:tc>
        <w:tc>
          <w:tcPr>
            <w:tcW w:w="905"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F1F8E5" w:themeFill="background2"/>
            <w:vAlign w:val="center"/>
            <w:hideMark/>
          </w:tcPr>
          <w:p w:rsidR="004D1676" w:rsidRPr="0082579E" w:rsidRDefault="004D1676" w:rsidP="00DE5D28">
            <w:pPr>
              <w:pStyle w:val="NoSpacing"/>
              <w:rPr>
                <w:rStyle w:val="Strong"/>
                <w:b w:val="0"/>
                <w:sz w:val="18"/>
                <w:szCs w:val="18"/>
              </w:rPr>
            </w:pPr>
            <w:r w:rsidRPr="0082579E">
              <w:rPr>
                <w:rStyle w:val="Strong"/>
                <w:sz w:val="18"/>
                <w:szCs w:val="18"/>
              </w:rPr>
              <w:t>Date</w:t>
            </w:r>
          </w:p>
        </w:tc>
        <w:tc>
          <w:tcPr>
            <w:tcW w:w="138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F1F8E5" w:themeFill="background2"/>
            <w:vAlign w:val="center"/>
            <w:hideMark/>
          </w:tcPr>
          <w:p w:rsidR="004D1676" w:rsidRPr="0082579E" w:rsidRDefault="004D1676" w:rsidP="00DE5D28">
            <w:pPr>
              <w:pStyle w:val="NoSpacing"/>
              <w:rPr>
                <w:rStyle w:val="Strong"/>
                <w:b w:val="0"/>
                <w:sz w:val="18"/>
                <w:szCs w:val="18"/>
              </w:rPr>
            </w:pPr>
            <w:r w:rsidRPr="0082579E">
              <w:rPr>
                <w:rStyle w:val="Strong"/>
                <w:sz w:val="18"/>
                <w:szCs w:val="18"/>
              </w:rPr>
              <w:t>Revision Details/Status</w:t>
            </w:r>
          </w:p>
        </w:tc>
        <w:tc>
          <w:tcPr>
            <w:tcW w:w="690"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F1F8E5" w:themeFill="background2"/>
            <w:vAlign w:val="center"/>
            <w:hideMark/>
          </w:tcPr>
          <w:p w:rsidR="004D1676" w:rsidRPr="0082579E" w:rsidRDefault="004D1676" w:rsidP="00DE5D28">
            <w:pPr>
              <w:pStyle w:val="NoSpacing"/>
              <w:rPr>
                <w:rStyle w:val="Strong"/>
                <w:b w:val="0"/>
                <w:sz w:val="18"/>
                <w:szCs w:val="18"/>
              </w:rPr>
            </w:pPr>
            <w:r w:rsidRPr="0082579E">
              <w:rPr>
                <w:rStyle w:val="Strong"/>
                <w:sz w:val="18"/>
                <w:szCs w:val="18"/>
              </w:rPr>
              <w:t>Prepared by</w:t>
            </w:r>
          </w:p>
        </w:tc>
        <w:tc>
          <w:tcPr>
            <w:tcW w:w="53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F1F8E5" w:themeFill="background2"/>
            <w:vAlign w:val="center"/>
            <w:hideMark/>
          </w:tcPr>
          <w:p w:rsidR="004D1676" w:rsidRPr="0082579E" w:rsidRDefault="004D1676" w:rsidP="00DE5D28">
            <w:pPr>
              <w:pStyle w:val="NoSpacing"/>
              <w:rPr>
                <w:rStyle w:val="Strong"/>
                <w:b w:val="0"/>
                <w:sz w:val="18"/>
                <w:szCs w:val="18"/>
              </w:rPr>
            </w:pPr>
            <w:r w:rsidRPr="0082579E">
              <w:rPr>
                <w:rStyle w:val="Strong"/>
                <w:sz w:val="18"/>
                <w:szCs w:val="18"/>
              </w:rPr>
              <w:t>Author</w:t>
            </w: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F1F8E5" w:themeFill="background2"/>
            <w:vAlign w:val="center"/>
            <w:hideMark/>
          </w:tcPr>
          <w:p w:rsidR="004D1676" w:rsidRPr="0082579E" w:rsidRDefault="004D1676" w:rsidP="00DE5D28">
            <w:pPr>
              <w:pStyle w:val="NoSpacing"/>
              <w:rPr>
                <w:rStyle w:val="Strong"/>
                <w:b w:val="0"/>
                <w:sz w:val="18"/>
                <w:szCs w:val="18"/>
              </w:rPr>
            </w:pPr>
            <w:r w:rsidRPr="0082579E">
              <w:rPr>
                <w:rStyle w:val="Strong"/>
                <w:sz w:val="18"/>
                <w:szCs w:val="18"/>
              </w:rPr>
              <w:t>Verifier</w:t>
            </w: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F1F8E5" w:themeFill="background2"/>
            <w:vAlign w:val="center"/>
            <w:hideMark/>
          </w:tcPr>
          <w:p w:rsidR="004D1676" w:rsidRPr="0082579E" w:rsidRDefault="004D1676" w:rsidP="00DE5D28">
            <w:pPr>
              <w:pStyle w:val="NoSpacing"/>
              <w:rPr>
                <w:rStyle w:val="Strong"/>
                <w:b w:val="0"/>
                <w:sz w:val="18"/>
                <w:szCs w:val="18"/>
              </w:rPr>
            </w:pPr>
            <w:r w:rsidRPr="0082579E">
              <w:rPr>
                <w:rStyle w:val="Strong"/>
                <w:sz w:val="18"/>
                <w:szCs w:val="18"/>
              </w:rPr>
              <w:t>Approver</w:t>
            </w:r>
          </w:p>
        </w:tc>
      </w:tr>
      <w:tr w:rsidR="004D1676" w:rsidRPr="0010002D" w:rsidTr="00BD456E">
        <w:trPr>
          <w:trHeight w:val="340"/>
        </w:trPr>
        <w:tc>
          <w:tcPr>
            <w:tcW w:w="299"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hideMark/>
          </w:tcPr>
          <w:p w:rsidR="004D1676" w:rsidRPr="0082579E" w:rsidRDefault="00A910CD" w:rsidP="00DE5D28">
            <w:pPr>
              <w:spacing w:after="0"/>
              <w:rPr>
                <w:rStyle w:val="Strong"/>
                <w:b w:val="0"/>
                <w:sz w:val="16"/>
                <w:szCs w:val="16"/>
              </w:rPr>
            </w:pPr>
            <w:r w:rsidRPr="0082579E">
              <w:rPr>
                <w:rStyle w:val="Strong"/>
                <w:b w:val="0"/>
                <w:sz w:val="16"/>
                <w:szCs w:val="16"/>
              </w:rPr>
              <w:t>0</w:t>
            </w:r>
          </w:p>
        </w:tc>
        <w:sdt>
          <w:sdtPr>
            <w:rPr>
              <w:rStyle w:val="Strong"/>
              <w:b w:val="0"/>
              <w:sz w:val="16"/>
              <w:szCs w:val="16"/>
            </w:rPr>
            <w:id w:val="257182381"/>
            <w:date w:fullDate="2013-05-24T00:00:00Z">
              <w:dateFormat w:val="d MMMM yyyy"/>
              <w:lid w:val="en-AU"/>
              <w:storeMappedDataAs w:val="dateTime"/>
              <w:calendar w:val="gregorian"/>
            </w:date>
          </w:sdtPr>
          <w:sdtEndPr>
            <w:rPr>
              <w:rStyle w:val="Strong"/>
            </w:rPr>
          </w:sdtEndPr>
          <w:sdtContent>
            <w:tc>
              <w:tcPr>
                <w:tcW w:w="905"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hideMark/>
              </w:tcPr>
              <w:p w:rsidR="004D1676" w:rsidRPr="0082579E" w:rsidRDefault="003E5644" w:rsidP="00DE5D28">
                <w:pPr>
                  <w:spacing w:after="0"/>
                  <w:rPr>
                    <w:rStyle w:val="Strong"/>
                    <w:b w:val="0"/>
                    <w:sz w:val="16"/>
                    <w:szCs w:val="16"/>
                  </w:rPr>
                </w:pPr>
                <w:r w:rsidRPr="0082579E">
                  <w:rPr>
                    <w:rStyle w:val="Strong"/>
                    <w:b w:val="0"/>
                    <w:sz w:val="16"/>
                    <w:szCs w:val="16"/>
                    <w:lang w:val="en-AU"/>
                  </w:rPr>
                  <w:t>24 May 2013</w:t>
                </w:r>
              </w:p>
            </w:tc>
          </w:sdtContent>
        </w:sdt>
        <w:tc>
          <w:tcPr>
            <w:tcW w:w="138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18481C" w:rsidP="00DE5D28">
            <w:pPr>
              <w:spacing w:after="0"/>
              <w:rPr>
                <w:rStyle w:val="Strong"/>
                <w:b w:val="0"/>
                <w:sz w:val="16"/>
                <w:szCs w:val="16"/>
              </w:rPr>
            </w:pPr>
            <w:r w:rsidRPr="0082579E">
              <w:rPr>
                <w:rStyle w:val="Strong"/>
                <w:b w:val="0"/>
                <w:sz w:val="16"/>
                <w:szCs w:val="16"/>
              </w:rPr>
              <w:t>Initial Draft</w:t>
            </w:r>
          </w:p>
        </w:tc>
        <w:tc>
          <w:tcPr>
            <w:tcW w:w="690"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4D1676" w:rsidP="00DE5D28">
            <w:pPr>
              <w:spacing w:after="0"/>
              <w:rPr>
                <w:rStyle w:val="Strong"/>
                <w:b w:val="0"/>
                <w:sz w:val="16"/>
                <w:szCs w:val="16"/>
              </w:rPr>
            </w:pPr>
          </w:p>
        </w:tc>
        <w:tc>
          <w:tcPr>
            <w:tcW w:w="53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EA2C83" w:rsidP="00DE5D28">
            <w:pPr>
              <w:spacing w:after="0"/>
              <w:rPr>
                <w:rStyle w:val="Strong"/>
                <w:b w:val="0"/>
                <w:sz w:val="16"/>
                <w:szCs w:val="16"/>
              </w:rPr>
            </w:pPr>
            <w:r w:rsidRPr="0082579E">
              <w:rPr>
                <w:rStyle w:val="Strong"/>
                <w:b w:val="0"/>
                <w:sz w:val="16"/>
                <w:szCs w:val="16"/>
              </w:rPr>
              <w:t>MS/NDS/NP</w:t>
            </w: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4D1676" w:rsidP="00DE5D28">
            <w:pPr>
              <w:spacing w:after="0"/>
              <w:rPr>
                <w:rStyle w:val="Strong"/>
                <w:b w:val="0"/>
                <w:sz w:val="16"/>
                <w:szCs w:val="16"/>
              </w:rPr>
            </w:pP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EA2C83" w:rsidP="00DE5D28">
            <w:pPr>
              <w:spacing w:after="0"/>
              <w:rPr>
                <w:rStyle w:val="Strong"/>
                <w:b w:val="0"/>
                <w:sz w:val="16"/>
                <w:szCs w:val="16"/>
              </w:rPr>
            </w:pPr>
            <w:r w:rsidRPr="0082579E">
              <w:rPr>
                <w:rStyle w:val="Strong"/>
                <w:b w:val="0"/>
                <w:sz w:val="16"/>
                <w:szCs w:val="16"/>
              </w:rPr>
              <w:t>PC</w:t>
            </w:r>
          </w:p>
        </w:tc>
      </w:tr>
      <w:tr w:rsidR="004D1676" w:rsidRPr="0010002D" w:rsidTr="00BD456E">
        <w:trPr>
          <w:trHeight w:val="340"/>
        </w:trPr>
        <w:tc>
          <w:tcPr>
            <w:tcW w:w="299"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A3314E" w:rsidP="00DE5D28">
            <w:pPr>
              <w:spacing w:after="0"/>
              <w:rPr>
                <w:rStyle w:val="Strong"/>
                <w:b w:val="0"/>
                <w:sz w:val="16"/>
                <w:szCs w:val="16"/>
              </w:rPr>
            </w:pPr>
            <w:r w:rsidRPr="0082579E">
              <w:rPr>
                <w:rStyle w:val="Strong"/>
                <w:b w:val="0"/>
                <w:sz w:val="16"/>
                <w:szCs w:val="16"/>
              </w:rPr>
              <w:t>1</w:t>
            </w:r>
          </w:p>
        </w:tc>
        <w:tc>
          <w:tcPr>
            <w:tcW w:w="905"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811FB0" w:rsidP="00811FB0">
            <w:pPr>
              <w:spacing w:after="0"/>
              <w:rPr>
                <w:rStyle w:val="Strong"/>
                <w:b w:val="0"/>
                <w:sz w:val="16"/>
                <w:szCs w:val="16"/>
              </w:rPr>
            </w:pPr>
            <w:r w:rsidRPr="0082579E">
              <w:rPr>
                <w:rStyle w:val="Strong"/>
                <w:b w:val="0"/>
                <w:sz w:val="16"/>
                <w:szCs w:val="16"/>
              </w:rPr>
              <w:t>01/08</w:t>
            </w:r>
            <w:r w:rsidR="00A3314E" w:rsidRPr="0082579E">
              <w:rPr>
                <w:rStyle w:val="Strong"/>
                <w:b w:val="0"/>
                <w:sz w:val="16"/>
                <w:szCs w:val="16"/>
              </w:rPr>
              <w:t>/2013</w:t>
            </w:r>
          </w:p>
        </w:tc>
        <w:tc>
          <w:tcPr>
            <w:tcW w:w="138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A3314E" w:rsidP="00A3314E">
            <w:pPr>
              <w:spacing w:after="0"/>
              <w:rPr>
                <w:rStyle w:val="Strong"/>
                <w:b w:val="0"/>
                <w:sz w:val="16"/>
                <w:szCs w:val="16"/>
              </w:rPr>
            </w:pPr>
            <w:r w:rsidRPr="0082579E">
              <w:rPr>
                <w:rStyle w:val="Strong"/>
                <w:b w:val="0"/>
                <w:sz w:val="16"/>
                <w:szCs w:val="16"/>
              </w:rPr>
              <w:t>Draft for FLCT review</w:t>
            </w:r>
          </w:p>
        </w:tc>
        <w:tc>
          <w:tcPr>
            <w:tcW w:w="690"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4D1676" w:rsidP="00DE5D28">
            <w:pPr>
              <w:spacing w:after="0"/>
              <w:rPr>
                <w:rStyle w:val="Strong"/>
                <w:b w:val="0"/>
                <w:sz w:val="16"/>
                <w:szCs w:val="16"/>
              </w:rPr>
            </w:pPr>
          </w:p>
        </w:tc>
        <w:tc>
          <w:tcPr>
            <w:tcW w:w="53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A3314E" w:rsidP="00DE5D28">
            <w:pPr>
              <w:spacing w:after="0"/>
              <w:rPr>
                <w:rStyle w:val="Strong"/>
                <w:b w:val="0"/>
                <w:sz w:val="16"/>
                <w:szCs w:val="16"/>
              </w:rPr>
            </w:pPr>
            <w:r w:rsidRPr="0082579E">
              <w:rPr>
                <w:rStyle w:val="Strong"/>
                <w:b w:val="0"/>
                <w:sz w:val="16"/>
                <w:szCs w:val="16"/>
              </w:rPr>
              <w:t>MS/NDS/NP/PC</w:t>
            </w: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A3314E" w:rsidP="00DE5D28">
            <w:pPr>
              <w:spacing w:after="0"/>
              <w:rPr>
                <w:rStyle w:val="Strong"/>
                <w:b w:val="0"/>
                <w:sz w:val="16"/>
                <w:szCs w:val="16"/>
              </w:rPr>
            </w:pPr>
            <w:r w:rsidRPr="0082579E">
              <w:rPr>
                <w:rStyle w:val="Strong"/>
                <w:b w:val="0"/>
                <w:sz w:val="16"/>
                <w:szCs w:val="16"/>
              </w:rPr>
              <w:t>SM</w:t>
            </w: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A3314E" w:rsidP="00DE5D28">
            <w:pPr>
              <w:spacing w:after="0"/>
              <w:rPr>
                <w:rStyle w:val="Strong"/>
                <w:b w:val="0"/>
                <w:sz w:val="16"/>
                <w:szCs w:val="16"/>
              </w:rPr>
            </w:pPr>
            <w:r w:rsidRPr="0082579E">
              <w:rPr>
                <w:rStyle w:val="Strong"/>
                <w:b w:val="0"/>
                <w:sz w:val="16"/>
                <w:szCs w:val="16"/>
              </w:rPr>
              <w:t>PC</w:t>
            </w:r>
          </w:p>
        </w:tc>
      </w:tr>
      <w:tr w:rsidR="004D1676" w:rsidRPr="0010002D" w:rsidTr="00BD456E">
        <w:trPr>
          <w:trHeight w:val="340"/>
        </w:trPr>
        <w:tc>
          <w:tcPr>
            <w:tcW w:w="299"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82579E" w:rsidP="00DE5D28">
            <w:pPr>
              <w:spacing w:after="0"/>
              <w:rPr>
                <w:rStyle w:val="Strong"/>
                <w:b w:val="0"/>
                <w:sz w:val="16"/>
                <w:szCs w:val="16"/>
              </w:rPr>
            </w:pPr>
            <w:r>
              <w:rPr>
                <w:rStyle w:val="Strong"/>
                <w:b w:val="0"/>
                <w:sz w:val="16"/>
                <w:szCs w:val="16"/>
              </w:rPr>
              <w:t>2</w:t>
            </w:r>
          </w:p>
        </w:tc>
        <w:tc>
          <w:tcPr>
            <w:tcW w:w="905"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82579E" w:rsidP="00DE5D28">
            <w:pPr>
              <w:spacing w:after="0"/>
              <w:rPr>
                <w:rStyle w:val="Strong"/>
                <w:b w:val="0"/>
                <w:sz w:val="16"/>
                <w:szCs w:val="16"/>
              </w:rPr>
            </w:pPr>
            <w:r>
              <w:rPr>
                <w:rStyle w:val="Strong"/>
                <w:b w:val="0"/>
                <w:sz w:val="16"/>
                <w:szCs w:val="16"/>
              </w:rPr>
              <w:t>12/09/2013</w:t>
            </w:r>
          </w:p>
        </w:tc>
        <w:tc>
          <w:tcPr>
            <w:tcW w:w="138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82579E" w:rsidP="00DE5D28">
            <w:pPr>
              <w:spacing w:after="0"/>
              <w:rPr>
                <w:rStyle w:val="Strong"/>
                <w:b w:val="0"/>
                <w:sz w:val="16"/>
                <w:szCs w:val="16"/>
              </w:rPr>
            </w:pPr>
            <w:r>
              <w:rPr>
                <w:rStyle w:val="Strong"/>
                <w:b w:val="0"/>
                <w:sz w:val="16"/>
                <w:szCs w:val="16"/>
              </w:rPr>
              <w:t>Internal Review</w:t>
            </w:r>
          </w:p>
        </w:tc>
        <w:tc>
          <w:tcPr>
            <w:tcW w:w="690"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4D1676" w:rsidP="00DE5D28">
            <w:pPr>
              <w:spacing w:after="0"/>
              <w:rPr>
                <w:rStyle w:val="Strong"/>
                <w:b w:val="0"/>
                <w:sz w:val="16"/>
                <w:szCs w:val="16"/>
              </w:rPr>
            </w:pPr>
          </w:p>
        </w:tc>
        <w:tc>
          <w:tcPr>
            <w:tcW w:w="53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82579E" w:rsidP="00DE5D28">
            <w:pPr>
              <w:spacing w:after="0"/>
              <w:rPr>
                <w:rStyle w:val="Strong"/>
                <w:b w:val="0"/>
                <w:sz w:val="16"/>
                <w:szCs w:val="16"/>
              </w:rPr>
            </w:pPr>
            <w:r w:rsidRPr="0082579E">
              <w:rPr>
                <w:rStyle w:val="Strong"/>
                <w:b w:val="0"/>
                <w:sz w:val="16"/>
                <w:szCs w:val="16"/>
              </w:rPr>
              <w:t>MS/NDS/NP/PC</w:t>
            </w: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82579E" w:rsidP="00DE5D28">
            <w:pPr>
              <w:spacing w:after="0"/>
              <w:rPr>
                <w:rStyle w:val="Strong"/>
                <w:b w:val="0"/>
                <w:sz w:val="16"/>
                <w:szCs w:val="16"/>
              </w:rPr>
            </w:pPr>
            <w:r>
              <w:rPr>
                <w:rStyle w:val="Strong"/>
                <w:b w:val="0"/>
                <w:sz w:val="16"/>
                <w:szCs w:val="16"/>
              </w:rPr>
              <w:t>KK</w:t>
            </w: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82579E" w:rsidP="00DE5D28">
            <w:pPr>
              <w:spacing w:after="0"/>
              <w:rPr>
                <w:rStyle w:val="Strong"/>
                <w:b w:val="0"/>
                <w:sz w:val="16"/>
                <w:szCs w:val="16"/>
              </w:rPr>
            </w:pPr>
            <w:r>
              <w:rPr>
                <w:rStyle w:val="Strong"/>
                <w:b w:val="0"/>
                <w:sz w:val="16"/>
                <w:szCs w:val="16"/>
              </w:rPr>
              <w:t>PC</w:t>
            </w:r>
          </w:p>
        </w:tc>
      </w:tr>
      <w:tr w:rsidR="004D1676" w:rsidRPr="0010002D" w:rsidTr="00BD456E">
        <w:trPr>
          <w:trHeight w:val="340"/>
        </w:trPr>
        <w:tc>
          <w:tcPr>
            <w:tcW w:w="299"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4D1676" w:rsidP="00DE5D28">
            <w:pPr>
              <w:spacing w:after="0"/>
              <w:rPr>
                <w:rStyle w:val="Strong"/>
                <w:b w:val="0"/>
                <w:sz w:val="16"/>
                <w:szCs w:val="16"/>
              </w:rPr>
            </w:pPr>
          </w:p>
        </w:tc>
        <w:tc>
          <w:tcPr>
            <w:tcW w:w="905"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4D1676" w:rsidP="00DE5D28">
            <w:pPr>
              <w:spacing w:after="0"/>
              <w:rPr>
                <w:rStyle w:val="Strong"/>
                <w:b w:val="0"/>
                <w:sz w:val="16"/>
                <w:szCs w:val="16"/>
              </w:rPr>
            </w:pPr>
          </w:p>
        </w:tc>
        <w:tc>
          <w:tcPr>
            <w:tcW w:w="138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4D1676" w:rsidP="00DE5D28">
            <w:pPr>
              <w:spacing w:after="0"/>
              <w:rPr>
                <w:rStyle w:val="Strong"/>
                <w:b w:val="0"/>
                <w:sz w:val="16"/>
                <w:szCs w:val="16"/>
              </w:rPr>
            </w:pPr>
          </w:p>
        </w:tc>
        <w:tc>
          <w:tcPr>
            <w:tcW w:w="690"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4D1676" w:rsidP="00DE5D28">
            <w:pPr>
              <w:spacing w:after="0"/>
              <w:rPr>
                <w:rStyle w:val="Strong"/>
                <w:b w:val="0"/>
                <w:sz w:val="16"/>
                <w:szCs w:val="16"/>
              </w:rPr>
            </w:pPr>
          </w:p>
        </w:tc>
        <w:tc>
          <w:tcPr>
            <w:tcW w:w="537"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4D1676" w:rsidP="00DE5D28">
            <w:pPr>
              <w:spacing w:after="0"/>
              <w:rPr>
                <w:rStyle w:val="Strong"/>
                <w:b w:val="0"/>
                <w:sz w:val="16"/>
                <w:szCs w:val="16"/>
              </w:rPr>
            </w:pP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82579E" w:rsidRDefault="004D1676" w:rsidP="00DE5D28">
            <w:pPr>
              <w:spacing w:after="0"/>
              <w:rPr>
                <w:rStyle w:val="Strong"/>
                <w:b w:val="0"/>
                <w:sz w:val="16"/>
                <w:szCs w:val="16"/>
              </w:rPr>
            </w:pPr>
          </w:p>
        </w:tc>
        <w:tc>
          <w:tcPr>
            <w:tcW w:w="591" w:type="pct"/>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tcPr>
          <w:p w:rsidR="004D1676" w:rsidRPr="006B790E" w:rsidRDefault="004D1676" w:rsidP="00DE5D28">
            <w:pPr>
              <w:spacing w:after="0"/>
              <w:rPr>
                <w:rStyle w:val="Strong"/>
                <w:b w:val="0"/>
                <w:sz w:val="16"/>
                <w:szCs w:val="16"/>
                <w:highlight w:val="yellow"/>
              </w:rPr>
            </w:pPr>
          </w:p>
        </w:tc>
      </w:tr>
      <w:tr w:rsidR="004D1676" w:rsidRPr="0010002D" w:rsidTr="00BD456E">
        <w:trPr>
          <w:trHeight w:val="454"/>
        </w:trPr>
        <w:tc>
          <w:tcPr>
            <w:tcW w:w="1204" w:type="pct"/>
            <w:gridSpan w:val="2"/>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F1F8E5" w:themeFill="background2"/>
            <w:vAlign w:val="center"/>
            <w:hideMark/>
          </w:tcPr>
          <w:p w:rsidR="004D1676" w:rsidRPr="0082579E" w:rsidRDefault="004D1676" w:rsidP="00DE5D28">
            <w:pPr>
              <w:pStyle w:val="NoSpacing"/>
              <w:rPr>
                <w:rStyle w:val="Strong"/>
                <w:sz w:val="18"/>
                <w:szCs w:val="18"/>
              </w:rPr>
            </w:pPr>
            <w:r w:rsidRPr="0082579E">
              <w:rPr>
                <w:rStyle w:val="Strong"/>
                <w:sz w:val="18"/>
                <w:szCs w:val="18"/>
              </w:rPr>
              <w:t>Current Revision</w:t>
            </w:r>
          </w:p>
        </w:tc>
        <w:tc>
          <w:tcPr>
            <w:tcW w:w="3796" w:type="pct"/>
            <w:gridSpan w:val="5"/>
            <w:tcBorders>
              <w:top w:val="single" w:sz="6" w:space="0" w:color="BABFB7" w:themeColor="accent3"/>
              <w:left w:val="single" w:sz="6" w:space="0" w:color="BABFB7" w:themeColor="accent3"/>
              <w:bottom w:val="single" w:sz="6" w:space="0" w:color="BABFB7" w:themeColor="accent3"/>
              <w:right w:val="single" w:sz="6" w:space="0" w:color="BABFB7" w:themeColor="accent3"/>
            </w:tcBorders>
            <w:vAlign w:val="center"/>
            <w:hideMark/>
          </w:tcPr>
          <w:p w:rsidR="004D1676" w:rsidRPr="0082579E" w:rsidRDefault="001474D4" w:rsidP="00DE5D28">
            <w:pPr>
              <w:pStyle w:val="NoSpacing"/>
              <w:rPr>
                <w:rStyle w:val="Strong"/>
                <w:sz w:val="18"/>
                <w:szCs w:val="18"/>
              </w:rPr>
            </w:pPr>
            <w:sdt>
              <w:sdtPr>
                <w:rPr>
                  <w:b/>
                  <w:bCs/>
                </w:rPr>
                <w:alias w:val="Current Revision"/>
                <w:tag w:val="CurrentRevision"/>
                <w:id w:val="1531081"/>
                <w:dataBinding w:xpath="/root[1]/revision[1]" w:storeItemID="{FFD81A59-B074-45B3-B3B7-CA5E6F5AEDEE}"/>
                <w:text/>
              </w:sdtPr>
              <w:sdtEndPr/>
              <w:sdtContent>
                <w:r w:rsidR="00622A3D" w:rsidRPr="0082579E">
                  <w:rPr>
                    <w:lang w:val="en-AU"/>
                  </w:rPr>
                  <w:t>0</w:t>
                </w:r>
              </w:sdtContent>
            </w:sdt>
          </w:p>
        </w:tc>
      </w:tr>
    </w:tbl>
    <w:p w:rsidR="004D1676" w:rsidRPr="0010002D" w:rsidRDefault="004D1676" w:rsidP="00DE5D28">
      <w:pPr>
        <w:spacing w:after="0" w:line="240" w:lineRule="auto"/>
      </w:pPr>
    </w:p>
    <w:tbl>
      <w:tblPr>
        <w:tblStyle w:val="TableGrid"/>
        <w:tblW w:w="5000" w:type="pct"/>
        <w:tblBorders>
          <w:top w:val="single" w:sz="6" w:space="0" w:color="BABFB7" w:themeColor="accent3"/>
          <w:left w:val="single" w:sz="6" w:space="0" w:color="BABFB7" w:themeColor="accent3"/>
          <w:bottom w:val="single" w:sz="6" w:space="0" w:color="BABFB7" w:themeColor="accent3"/>
          <w:right w:val="single" w:sz="6" w:space="0" w:color="BABFB7" w:themeColor="accent3"/>
          <w:insideH w:val="single" w:sz="6" w:space="0" w:color="BABFB7" w:themeColor="accent3"/>
          <w:insideV w:val="single" w:sz="6" w:space="0" w:color="BABFB7" w:themeColor="accent3"/>
        </w:tblBorders>
        <w:tblLayout w:type="fixed"/>
        <w:tblLook w:val="0620" w:firstRow="1" w:lastRow="0" w:firstColumn="0" w:lastColumn="0" w:noHBand="1" w:noVBand="1"/>
      </w:tblPr>
      <w:tblGrid>
        <w:gridCol w:w="2237"/>
        <w:gridCol w:w="2572"/>
        <w:gridCol w:w="2279"/>
        <w:gridCol w:w="2199"/>
      </w:tblGrid>
      <w:tr w:rsidR="004D1676" w:rsidRPr="0010002D" w:rsidTr="00BD456E">
        <w:trPr>
          <w:trHeight w:val="510"/>
        </w:trPr>
        <w:tc>
          <w:tcPr>
            <w:tcW w:w="5000" w:type="pct"/>
            <w:gridSpan w:val="4"/>
            <w:tcBorders>
              <w:top w:val="single" w:sz="6" w:space="0" w:color="BABFB7" w:themeColor="accent3"/>
              <w:left w:val="single" w:sz="6" w:space="0" w:color="BABFB7" w:themeColor="accent3"/>
              <w:bottom w:val="single" w:sz="6" w:space="0" w:color="BABFB7" w:themeColor="accent3"/>
              <w:right w:val="single" w:sz="6" w:space="0" w:color="BABFB7" w:themeColor="accent3"/>
            </w:tcBorders>
            <w:shd w:val="clear" w:color="auto" w:fill="353D30" w:themeFill="accent2"/>
            <w:vAlign w:val="center"/>
            <w:hideMark/>
          </w:tcPr>
          <w:p w:rsidR="004D1676" w:rsidRPr="0010002D" w:rsidRDefault="00015DF9" w:rsidP="00DE5D28">
            <w:pPr>
              <w:pStyle w:val="NoSpacing"/>
              <w:rPr>
                <w:rStyle w:val="Strong"/>
              </w:rPr>
            </w:pPr>
            <w:r>
              <w:rPr>
                <w:noProof/>
                <w:lang w:val="en-AU" w:eastAsia="en-AU"/>
              </w:rPr>
              <w:drawing>
                <wp:anchor distT="0" distB="0" distL="114300" distR="114300" simplePos="0" relativeHeight="251669504" behindDoc="0" locked="0" layoutInCell="1" allowOverlap="1">
                  <wp:simplePos x="0" y="0"/>
                  <wp:positionH relativeFrom="column">
                    <wp:posOffset>4639945</wp:posOffset>
                  </wp:positionH>
                  <wp:positionV relativeFrom="paragraph">
                    <wp:posOffset>273685</wp:posOffset>
                  </wp:positionV>
                  <wp:extent cx="901700" cy="66357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01700" cy="663575"/>
                          </a:xfrm>
                          <a:prstGeom prst="rect">
                            <a:avLst/>
                          </a:prstGeom>
                        </pic:spPr>
                      </pic:pic>
                    </a:graphicData>
                  </a:graphic>
                </wp:anchor>
              </w:drawing>
            </w:r>
            <w:r w:rsidR="004D1676" w:rsidRPr="0010002D">
              <w:rPr>
                <w:rStyle w:val="Strong"/>
              </w:rPr>
              <w:t>Approval</w:t>
            </w:r>
          </w:p>
        </w:tc>
      </w:tr>
      <w:tr w:rsidR="004D1676" w:rsidRPr="0010002D" w:rsidTr="00BD456E">
        <w:trPr>
          <w:trHeight w:val="397"/>
        </w:trPr>
        <w:tc>
          <w:tcPr>
            <w:tcW w:w="1204"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F1F8E5" w:themeFill="background2"/>
            <w:vAlign w:val="center"/>
            <w:hideMark/>
          </w:tcPr>
          <w:p w:rsidR="004D1676" w:rsidRPr="0010002D" w:rsidRDefault="004D1676" w:rsidP="00DE5D28">
            <w:pPr>
              <w:spacing w:after="0"/>
              <w:rPr>
                <w:rStyle w:val="Strong"/>
                <w:b w:val="0"/>
                <w:sz w:val="18"/>
                <w:szCs w:val="18"/>
              </w:rPr>
            </w:pPr>
            <w:r w:rsidRPr="0010002D">
              <w:rPr>
                <w:rStyle w:val="Strong"/>
                <w:b w:val="0"/>
                <w:sz w:val="18"/>
                <w:szCs w:val="18"/>
              </w:rPr>
              <w:t>Author Signature</w:t>
            </w:r>
          </w:p>
        </w:tc>
        <w:tc>
          <w:tcPr>
            <w:tcW w:w="1385" w:type="pct"/>
            <w:tcBorders>
              <w:top w:val="single" w:sz="6" w:space="0" w:color="BABFB7" w:themeColor="accent3"/>
              <w:left w:val="single" w:sz="4" w:space="0" w:color="BABFB7" w:themeColor="accent3"/>
              <w:bottom w:val="single" w:sz="4" w:space="0" w:color="353D30" w:themeColor="accent2"/>
              <w:right w:val="single" w:sz="4" w:space="0" w:color="BABFB7" w:themeColor="accent3"/>
            </w:tcBorders>
            <w:vAlign w:val="center"/>
          </w:tcPr>
          <w:p w:rsidR="004D1676" w:rsidRPr="0010002D" w:rsidRDefault="004D1676" w:rsidP="00DE5D28">
            <w:pPr>
              <w:spacing w:after="0"/>
              <w:rPr>
                <w:rStyle w:val="Strong"/>
                <w:b w:val="0"/>
              </w:rPr>
            </w:pPr>
          </w:p>
        </w:tc>
        <w:tc>
          <w:tcPr>
            <w:tcW w:w="1227"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F1F8E5" w:themeFill="background2"/>
            <w:vAlign w:val="center"/>
            <w:hideMark/>
          </w:tcPr>
          <w:p w:rsidR="004D1676" w:rsidRPr="0010002D" w:rsidRDefault="004D1676" w:rsidP="00DE5D28">
            <w:pPr>
              <w:spacing w:after="0"/>
              <w:rPr>
                <w:rStyle w:val="Strong"/>
                <w:b w:val="0"/>
              </w:rPr>
            </w:pPr>
            <w:r w:rsidRPr="0010002D">
              <w:rPr>
                <w:rStyle w:val="Strong"/>
                <w:b w:val="0"/>
                <w:sz w:val="18"/>
                <w:szCs w:val="18"/>
              </w:rPr>
              <w:t>Approver Signature</w:t>
            </w:r>
          </w:p>
        </w:tc>
        <w:tc>
          <w:tcPr>
            <w:tcW w:w="1184" w:type="pct"/>
            <w:tcBorders>
              <w:top w:val="single" w:sz="6" w:space="0" w:color="BABFB7" w:themeColor="accent3"/>
              <w:left w:val="single" w:sz="4" w:space="0" w:color="BABFB7" w:themeColor="accent3"/>
              <w:bottom w:val="single" w:sz="4" w:space="0" w:color="353D30" w:themeColor="accent2"/>
              <w:right w:val="single" w:sz="4" w:space="0" w:color="BABFB7" w:themeColor="accent3"/>
            </w:tcBorders>
            <w:vAlign w:val="center"/>
          </w:tcPr>
          <w:p w:rsidR="004D1676" w:rsidRPr="0010002D" w:rsidRDefault="004D1676" w:rsidP="00DE5D28">
            <w:pPr>
              <w:spacing w:after="0"/>
              <w:rPr>
                <w:rStyle w:val="Strong"/>
                <w:b w:val="0"/>
              </w:rPr>
            </w:pPr>
          </w:p>
        </w:tc>
      </w:tr>
      <w:tr w:rsidR="004D1676" w:rsidRPr="0010002D" w:rsidTr="00BD456E">
        <w:trPr>
          <w:trHeight w:val="397"/>
        </w:trPr>
        <w:tc>
          <w:tcPr>
            <w:tcW w:w="1204"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F1F8E5" w:themeFill="background2"/>
            <w:vAlign w:val="center"/>
            <w:hideMark/>
          </w:tcPr>
          <w:p w:rsidR="004D1676" w:rsidRPr="0010002D" w:rsidRDefault="004D1676" w:rsidP="00DE5D28">
            <w:pPr>
              <w:spacing w:after="0"/>
              <w:rPr>
                <w:rStyle w:val="Strong"/>
                <w:b w:val="0"/>
                <w:sz w:val="18"/>
                <w:szCs w:val="18"/>
              </w:rPr>
            </w:pPr>
            <w:r w:rsidRPr="0010002D">
              <w:rPr>
                <w:rStyle w:val="Strong"/>
                <w:b w:val="0"/>
                <w:sz w:val="18"/>
                <w:szCs w:val="18"/>
              </w:rPr>
              <w:t>Name</w:t>
            </w:r>
          </w:p>
        </w:tc>
        <w:tc>
          <w:tcPr>
            <w:tcW w:w="1385"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vAlign w:val="center"/>
          </w:tcPr>
          <w:p w:rsidR="004D1676" w:rsidRPr="0010002D" w:rsidRDefault="004D1676" w:rsidP="00DE5D28">
            <w:pPr>
              <w:spacing w:after="0"/>
              <w:rPr>
                <w:rStyle w:val="Strong"/>
                <w:b w:val="0"/>
              </w:rPr>
            </w:pPr>
          </w:p>
        </w:tc>
        <w:tc>
          <w:tcPr>
            <w:tcW w:w="1227"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F1F8E5" w:themeFill="background2"/>
            <w:vAlign w:val="center"/>
            <w:hideMark/>
          </w:tcPr>
          <w:p w:rsidR="004D1676" w:rsidRPr="0010002D" w:rsidRDefault="004D1676" w:rsidP="00DE5D28">
            <w:pPr>
              <w:spacing w:after="0"/>
              <w:rPr>
                <w:rStyle w:val="Strong"/>
                <w:b w:val="0"/>
              </w:rPr>
            </w:pPr>
            <w:r w:rsidRPr="0010002D">
              <w:rPr>
                <w:rStyle w:val="Strong"/>
                <w:b w:val="0"/>
              </w:rPr>
              <w:t xml:space="preserve">Name </w:t>
            </w:r>
          </w:p>
        </w:tc>
        <w:tc>
          <w:tcPr>
            <w:tcW w:w="1184"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vAlign w:val="center"/>
          </w:tcPr>
          <w:p w:rsidR="004D1676" w:rsidRPr="0010002D" w:rsidRDefault="00EA2C83" w:rsidP="00DE5D28">
            <w:pPr>
              <w:spacing w:after="0"/>
              <w:rPr>
                <w:rStyle w:val="Strong"/>
                <w:b w:val="0"/>
              </w:rPr>
            </w:pPr>
            <w:r w:rsidRPr="0010002D">
              <w:rPr>
                <w:rStyle w:val="Strong"/>
                <w:b w:val="0"/>
              </w:rPr>
              <w:t>Peter Carney</w:t>
            </w:r>
          </w:p>
        </w:tc>
      </w:tr>
      <w:tr w:rsidR="004D1676" w:rsidRPr="0010002D" w:rsidTr="00BD456E">
        <w:trPr>
          <w:trHeight w:val="397"/>
        </w:trPr>
        <w:tc>
          <w:tcPr>
            <w:tcW w:w="1204"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F1F8E5" w:themeFill="background2"/>
            <w:vAlign w:val="center"/>
            <w:hideMark/>
          </w:tcPr>
          <w:p w:rsidR="004D1676" w:rsidRPr="0010002D" w:rsidRDefault="004D1676" w:rsidP="00DE5D28">
            <w:pPr>
              <w:spacing w:after="0"/>
              <w:rPr>
                <w:rStyle w:val="Strong"/>
                <w:b w:val="0"/>
                <w:sz w:val="18"/>
                <w:szCs w:val="18"/>
              </w:rPr>
            </w:pPr>
            <w:r w:rsidRPr="0010002D">
              <w:rPr>
                <w:rStyle w:val="Strong"/>
                <w:b w:val="0"/>
                <w:sz w:val="18"/>
                <w:szCs w:val="18"/>
              </w:rPr>
              <w:t>Title</w:t>
            </w:r>
          </w:p>
        </w:tc>
        <w:tc>
          <w:tcPr>
            <w:tcW w:w="1385"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vAlign w:val="center"/>
          </w:tcPr>
          <w:p w:rsidR="004D1676" w:rsidRPr="0010002D" w:rsidRDefault="004D1676" w:rsidP="00DE5D28">
            <w:pPr>
              <w:spacing w:after="0"/>
              <w:rPr>
                <w:rStyle w:val="Strong"/>
                <w:b w:val="0"/>
              </w:rPr>
            </w:pPr>
          </w:p>
        </w:tc>
        <w:tc>
          <w:tcPr>
            <w:tcW w:w="1227"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shd w:val="clear" w:color="auto" w:fill="F1F8E5" w:themeFill="background2"/>
            <w:vAlign w:val="center"/>
            <w:hideMark/>
          </w:tcPr>
          <w:p w:rsidR="004D1676" w:rsidRPr="0010002D" w:rsidRDefault="004D1676" w:rsidP="00DE5D28">
            <w:pPr>
              <w:spacing w:after="0"/>
              <w:rPr>
                <w:rStyle w:val="Strong"/>
                <w:b w:val="0"/>
              </w:rPr>
            </w:pPr>
            <w:r w:rsidRPr="0010002D">
              <w:rPr>
                <w:rStyle w:val="Strong"/>
                <w:b w:val="0"/>
              </w:rPr>
              <w:t>Title</w:t>
            </w:r>
          </w:p>
        </w:tc>
        <w:tc>
          <w:tcPr>
            <w:tcW w:w="1184" w:type="pct"/>
            <w:tcBorders>
              <w:top w:val="single" w:sz="4" w:space="0" w:color="BABFB7" w:themeColor="accent3"/>
              <w:left w:val="single" w:sz="4" w:space="0" w:color="BABFB7" w:themeColor="accent3"/>
              <w:bottom w:val="single" w:sz="4" w:space="0" w:color="BABFB7" w:themeColor="accent3"/>
              <w:right w:val="single" w:sz="4" w:space="0" w:color="BABFB7" w:themeColor="accent3"/>
            </w:tcBorders>
            <w:vAlign w:val="center"/>
          </w:tcPr>
          <w:p w:rsidR="004D1676" w:rsidRPr="0010002D" w:rsidRDefault="00EA2C83" w:rsidP="00DE5D28">
            <w:pPr>
              <w:spacing w:after="0"/>
              <w:rPr>
                <w:rStyle w:val="Strong"/>
                <w:b w:val="0"/>
              </w:rPr>
            </w:pPr>
            <w:r w:rsidRPr="0010002D">
              <w:rPr>
                <w:rStyle w:val="Strong"/>
                <w:b w:val="0"/>
              </w:rPr>
              <w:t>Supply Chain Manager</w:t>
            </w:r>
          </w:p>
        </w:tc>
      </w:tr>
    </w:tbl>
    <w:p w:rsidR="00B43193" w:rsidRPr="0010002D" w:rsidRDefault="00B43193" w:rsidP="00C350BA">
      <w:pPr>
        <w:rPr>
          <w:rStyle w:val="Strong"/>
          <w:b w:val="0"/>
        </w:rPr>
      </w:pPr>
    </w:p>
    <w:p w:rsidR="00B43193" w:rsidRPr="0010002D" w:rsidRDefault="00B43193" w:rsidP="00C350BA">
      <w:pPr>
        <w:rPr>
          <w:rStyle w:val="Strong"/>
          <w:b w:val="0"/>
        </w:rPr>
        <w:sectPr w:rsidR="00B43193" w:rsidRPr="0010002D" w:rsidSect="009948EB">
          <w:headerReference w:type="default" r:id="rId21"/>
          <w:footerReference w:type="default" r:id="rId22"/>
          <w:footerReference w:type="first" r:id="rId23"/>
          <w:pgSz w:w="11907" w:h="16839" w:code="9"/>
          <w:pgMar w:top="1985" w:right="1418" w:bottom="1134" w:left="1418" w:header="567" w:footer="340" w:gutter="0"/>
          <w:cols w:space="720"/>
          <w:docGrid w:linePitch="360"/>
        </w:sectPr>
      </w:pPr>
    </w:p>
    <w:p w:rsidR="004841C2" w:rsidRPr="0010002D" w:rsidRDefault="004841C2" w:rsidP="004841C2">
      <w:pPr>
        <w:rPr>
          <w:b/>
        </w:rPr>
      </w:pPr>
      <w:bookmarkStart w:id="1" w:name="_Toc358067515"/>
      <w:r w:rsidRPr="0010002D">
        <w:rPr>
          <w:b/>
        </w:rPr>
        <w:lastRenderedPageBreak/>
        <w:t>Disclaimer</w:t>
      </w:r>
    </w:p>
    <w:p w:rsidR="0011239C" w:rsidRDefault="0011239C" w:rsidP="0011239C">
      <w:r>
        <w:t>This report has been prepared solely for the benefit of the Freight Logistics Coordination Team (FLCT) and in accordance with instructions given by or on behalf of the FLCT and in the circumstances which existed at the time of preparation.  It is not possible to make a proper assessment of the report without a clear understanding of the terms of engagement under which the report has been prepared, including the scope of the instructions and the directions given to and the assumptions made by those who prepared the report.  The report may not address issues which would need to be addressed if the particular intention, environment, circumstances, time, requirements and brief are different from those for which this report has been prepared. This report may also make assumptions about matters which a third party may not be aware.  It should not be used or relied upon or used for any other project or in a different set of circumstances and requirements without an independent check being carried out as to its suitability, relevance or accuracy. Aurecon accepts no responsibility or liability for the consequences of the report or the information contained therein being used or relied upon for a purpose other than the purposes for which it was commissioned at the time of the commissioning or for any unauthorised use by its client or any third party.</w:t>
      </w:r>
    </w:p>
    <w:p w:rsidR="002A6C9E" w:rsidRDefault="0011239C" w:rsidP="004841C2">
      <w:pPr>
        <w:sectPr w:rsidR="002A6C9E" w:rsidSect="002B595A">
          <w:headerReference w:type="default" r:id="rId24"/>
          <w:pgSz w:w="11907" w:h="16839" w:code="9"/>
          <w:pgMar w:top="1985" w:right="1418" w:bottom="1134" w:left="1418" w:header="567" w:footer="543" w:gutter="0"/>
          <w:pgNumType w:start="1"/>
          <w:cols w:space="720"/>
          <w:docGrid w:linePitch="360"/>
        </w:sectPr>
      </w:pPr>
      <w:r>
        <w:t>The information in this report has been collected through detailed interviews with industry, peak organisations and infrastructure providers. The information collected includes both business-related data and the confidential views of participants. Confidentiality of discussions and the aggregation of data and views were key components supporting stakeholder participation</w:t>
      </w:r>
      <w:r w:rsidR="004841C2">
        <w:t>.</w:t>
      </w:r>
    </w:p>
    <w:p w:rsidR="00382856" w:rsidRPr="00F2279F" w:rsidRDefault="00382856" w:rsidP="009A1986">
      <w:pPr>
        <w:pStyle w:val="Heading1"/>
      </w:pPr>
      <w:bookmarkStart w:id="2" w:name="_Toc358361209"/>
      <w:bookmarkStart w:id="3" w:name="_Toc367700210"/>
      <w:bookmarkStart w:id="4" w:name="_Toc358067517"/>
      <w:bookmarkEnd w:id="1"/>
      <w:r w:rsidRPr="00F2279F">
        <w:lastRenderedPageBreak/>
        <w:t>Contents</w:t>
      </w:r>
      <w:bookmarkEnd w:id="2"/>
      <w:bookmarkEnd w:id="3"/>
    </w:p>
    <w:sdt>
      <w:sdtPr>
        <w:rPr>
          <w:rStyle w:val="Hyperlink"/>
          <w:b w:val="0"/>
          <w:noProof w:val="0"/>
        </w:rPr>
        <w:id w:val="1495446793"/>
        <w:docPartObj>
          <w:docPartGallery w:val="Table of Contents"/>
          <w:docPartUnique/>
        </w:docPartObj>
      </w:sdtPr>
      <w:sdtEndPr>
        <w:rPr>
          <w:rStyle w:val="Hyperlink"/>
          <w:b/>
        </w:rPr>
      </w:sdtEndPr>
      <w:sdtContent>
        <w:p w:rsidR="00542217" w:rsidRDefault="00CA7023">
          <w:pPr>
            <w:pStyle w:val="TOC1"/>
            <w:rPr>
              <w:rFonts w:asciiTheme="minorHAnsi" w:eastAsiaTheme="minorEastAsia" w:hAnsiTheme="minorHAnsi" w:cstheme="minorBidi"/>
              <w:b w:val="0"/>
              <w:color w:val="auto"/>
              <w:sz w:val="22"/>
              <w:szCs w:val="22"/>
              <w:lang w:val="en-AU" w:eastAsia="en-AU"/>
            </w:rPr>
          </w:pPr>
          <w:r>
            <w:rPr>
              <w:rStyle w:val="Hyperlink"/>
              <w:b w:val="0"/>
            </w:rPr>
            <w:fldChar w:fldCharType="begin"/>
          </w:r>
          <w:r w:rsidR="00DD19D6">
            <w:rPr>
              <w:rStyle w:val="Hyperlink"/>
              <w:b w:val="0"/>
            </w:rPr>
            <w:instrText xml:space="preserve"> TOC \o "1-3" \h \z \u \t "Heading 1,1,Heading 2,2,Heading 3,3" </w:instrText>
          </w:r>
          <w:r>
            <w:rPr>
              <w:rStyle w:val="Hyperlink"/>
              <w:b w:val="0"/>
            </w:rPr>
            <w:fldChar w:fldCharType="separate"/>
          </w:r>
          <w:hyperlink w:anchor="_Toc367700210" w:history="1">
            <w:r w:rsidR="00542217" w:rsidRPr="00717126">
              <w:rPr>
                <w:rStyle w:val="Hyperlink"/>
              </w:rPr>
              <w:t>1</w:t>
            </w:r>
            <w:r w:rsidR="00542217">
              <w:rPr>
                <w:rFonts w:asciiTheme="minorHAnsi" w:eastAsiaTheme="minorEastAsia" w:hAnsiTheme="minorHAnsi" w:cstheme="minorBidi"/>
                <w:b w:val="0"/>
                <w:color w:val="auto"/>
                <w:sz w:val="22"/>
                <w:szCs w:val="22"/>
                <w:lang w:val="en-AU" w:eastAsia="en-AU"/>
              </w:rPr>
              <w:tab/>
            </w:r>
            <w:r w:rsidR="00542217" w:rsidRPr="00717126">
              <w:rPr>
                <w:rStyle w:val="Hyperlink"/>
              </w:rPr>
              <w:t>Contents</w:t>
            </w:r>
            <w:r w:rsidR="00542217">
              <w:rPr>
                <w:webHidden/>
              </w:rPr>
              <w:tab/>
            </w:r>
            <w:r>
              <w:rPr>
                <w:webHidden/>
              </w:rPr>
              <w:fldChar w:fldCharType="begin"/>
            </w:r>
            <w:r w:rsidR="00542217">
              <w:rPr>
                <w:webHidden/>
              </w:rPr>
              <w:instrText xml:space="preserve"> PAGEREF _Toc367700210 \h </w:instrText>
            </w:r>
            <w:r>
              <w:rPr>
                <w:webHidden/>
              </w:rPr>
            </w:r>
            <w:r>
              <w:rPr>
                <w:webHidden/>
              </w:rPr>
              <w:fldChar w:fldCharType="separate"/>
            </w:r>
            <w:r w:rsidR="00FF5EB2">
              <w:rPr>
                <w:webHidden/>
              </w:rPr>
              <w:t>2</w:t>
            </w:r>
            <w:r>
              <w:rPr>
                <w:webHidden/>
              </w:rPr>
              <w:fldChar w:fldCharType="end"/>
            </w:r>
          </w:hyperlink>
        </w:p>
        <w:p w:rsidR="00542217" w:rsidRDefault="001474D4">
          <w:pPr>
            <w:pStyle w:val="TOC1"/>
            <w:rPr>
              <w:rFonts w:asciiTheme="minorHAnsi" w:eastAsiaTheme="minorEastAsia" w:hAnsiTheme="minorHAnsi" w:cstheme="minorBidi"/>
              <w:b w:val="0"/>
              <w:color w:val="auto"/>
              <w:sz w:val="22"/>
              <w:szCs w:val="22"/>
              <w:lang w:val="en-AU" w:eastAsia="en-AU"/>
            </w:rPr>
          </w:pPr>
          <w:hyperlink w:anchor="_Toc367700211" w:history="1">
            <w:r w:rsidR="00542217" w:rsidRPr="00717126">
              <w:rPr>
                <w:rStyle w:val="Hyperlink"/>
              </w:rPr>
              <w:t>2</w:t>
            </w:r>
            <w:r w:rsidR="00542217">
              <w:rPr>
                <w:rFonts w:asciiTheme="minorHAnsi" w:eastAsiaTheme="minorEastAsia" w:hAnsiTheme="minorHAnsi" w:cstheme="minorBidi"/>
                <w:b w:val="0"/>
                <w:color w:val="auto"/>
                <w:sz w:val="22"/>
                <w:szCs w:val="22"/>
                <w:lang w:val="en-AU" w:eastAsia="en-AU"/>
              </w:rPr>
              <w:tab/>
            </w:r>
            <w:r w:rsidR="00542217" w:rsidRPr="00717126">
              <w:rPr>
                <w:rStyle w:val="Hyperlink"/>
              </w:rPr>
              <w:t>Executive Summary</w:t>
            </w:r>
            <w:r w:rsidR="00542217">
              <w:rPr>
                <w:webHidden/>
              </w:rPr>
              <w:tab/>
            </w:r>
            <w:r w:rsidR="00CA7023">
              <w:rPr>
                <w:webHidden/>
              </w:rPr>
              <w:fldChar w:fldCharType="begin"/>
            </w:r>
            <w:r w:rsidR="00542217">
              <w:rPr>
                <w:webHidden/>
              </w:rPr>
              <w:instrText xml:space="preserve"> PAGEREF _Toc367700211 \h </w:instrText>
            </w:r>
            <w:r w:rsidR="00CA7023">
              <w:rPr>
                <w:webHidden/>
              </w:rPr>
            </w:r>
            <w:r w:rsidR="00CA7023">
              <w:rPr>
                <w:webHidden/>
              </w:rPr>
              <w:fldChar w:fldCharType="separate"/>
            </w:r>
            <w:r w:rsidR="00FF5EB2">
              <w:rPr>
                <w:webHidden/>
              </w:rPr>
              <w:t>4</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12" w:history="1">
            <w:r w:rsidR="00542217" w:rsidRPr="00717126">
              <w:rPr>
                <w:rStyle w:val="Hyperlink"/>
              </w:rPr>
              <w:t>2.1</w:t>
            </w:r>
            <w:r w:rsidR="00542217">
              <w:rPr>
                <w:rFonts w:asciiTheme="minorHAnsi" w:eastAsiaTheme="minorEastAsia" w:hAnsiTheme="minorHAnsi" w:cstheme="minorBidi"/>
                <w:sz w:val="22"/>
                <w:szCs w:val="22"/>
                <w:lang w:val="en-AU" w:eastAsia="en-AU"/>
              </w:rPr>
              <w:tab/>
            </w:r>
            <w:r w:rsidR="00542217" w:rsidRPr="00717126">
              <w:rPr>
                <w:rStyle w:val="Hyperlink"/>
              </w:rPr>
              <w:t>Background</w:t>
            </w:r>
            <w:r w:rsidR="00542217">
              <w:rPr>
                <w:webHidden/>
              </w:rPr>
              <w:tab/>
            </w:r>
            <w:r w:rsidR="00CA7023">
              <w:rPr>
                <w:webHidden/>
              </w:rPr>
              <w:fldChar w:fldCharType="begin"/>
            </w:r>
            <w:r w:rsidR="00542217">
              <w:rPr>
                <w:webHidden/>
              </w:rPr>
              <w:instrText xml:space="preserve"> PAGEREF _Toc367700212 \h </w:instrText>
            </w:r>
            <w:r w:rsidR="00CA7023">
              <w:rPr>
                <w:webHidden/>
              </w:rPr>
            </w:r>
            <w:r w:rsidR="00CA7023">
              <w:rPr>
                <w:webHidden/>
              </w:rPr>
              <w:fldChar w:fldCharType="separate"/>
            </w:r>
            <w:r w:rsidR="00FF5EB2">
              <w:rPr>
                <w:webHidden/>
              </w:rPr>
              <w:t>4</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13" w:history="1">
            <w:r w:rsidR="00542217" w:rsidRPr="00717126">
              <w:rPr>
                <w:rStyle w:val="Hyperlink"/>
              </w:rPr>
              <w:t>2.2</w:t>
            </w:r>
            <w:r w:rsidR="00542217">
              <w:rPr>
                <w:rFonts w:asciiTheme="minorHAnsi" w:eastAsiaTheme="minorEastAsia" w:hAnsiTheme="minorHAnsi" w:cstheme="minorBidi"/>
                <w:sz w:val="22"/>
                <w:szCs w:val="22"/>
                <w:lang w:val="en-AU" w:eastAsia="en-AU"/>
              </w:rPr>
              <w:tab/>
            </w:r>
            <w:r w:rsidR="00542217" w:rsidRPr="00717126">
              <w:rPr>
                <w:rStyle w:val="Hyperlink"/>
              </w:rPr>
              <w:t>The Nature of Tasmania’s Shipping and Ports</w:t>
            </w:r>
            <w:r w:rsidR="00542217">
              <w:rPr>
                <w:webHidden/>
              </w:rPr>
              <w:tab/>
            </w:r>
            <w:r w:rsidR="00CA7023">
              <w:rPr>
                <w:webHidden/>
              </w:rPr>
              <w:fldChar w:fldCharType="begin"/>
            </w:r>
            <w:r w:rsidR="00542217">
              <w:rPr>
                <w:webHidden/>
              </w:rPr>
              <w:instrText xml:space="preserve"> PAGEREF _Toc367700213 \h </w:instrText>
            </w:r>
            <w:r w:rsidR="00CA7023">
              <w:rPr>
                <w:webHidden/>
              </w:rPr>
            </w:r>
            <w:r w:rsidR="00CA7023">
              <w:rPr>
                <w:webHidden/>
              </w:rPr>
              <w:fldChar w:fldCharType="separate"/>
            </w:r>
            <w:r w:rsidR="00FF5EB2">
              <w:rPr>
                <w:webHidden/>
              </w:rPr>
              <w:t>4</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14" w:history="1">
            <w:r w:rsidR="00542217" w:rsidRPr="00717126">
              <w:rPr>
                <w:rStyle w:val="Hyperlink"/>
              </w:rPr>
              <w:t>2.3</w:t>
            </w:r>
            <w:r w:rsidR="00542217">
              <w:rPr>
                <w:rFonts w:asciiTheme="minorHAnsi" w:eastAsiaTheme="minorEastAsia" w:hAnsiTheme="minorHAnsi" w:cstheme="minorBidi"/>
                <w:sz w:val="22"/>
                <w:szCs w:val="22"/>
                <w:lang w:val="en-AU" w:eastAsia="en-AU"/>
              </w:rPr>
              <w:tab/>
            </w:r>
            <w:r w:rsidR="00542217" w:rsidRPr="00717126">
              <w:rPr>
                <w:rStyle w:val="Hyperlink"/>
              </w:rPr>
              <w:t>Findings</w:t>
            </w:r>
            <w:r w:rsidR="00542217">
              <w:rPr>
                <w:webHidden/>
              </w:rPr>
              <w:tab/>
            </w:r>
            <w:r w:rsidR="00CA7023">
              <w:rPr>
                <w:webHidden/>
              </w:rPr>
              <w:fldChar w:fldCharType="begin"/>
            </w:r>
            <w:r w:rsidR="00542217">
              <w:rPr>
                <w:webHidden/>
              </w:rPr>
              <w:instrText xml:space="preserve"> PAGEREF _Toc367700214 \h </w:instrText>
            </w:r>
            <w:r w:rsidR="00CA7023">
              <w:rPr>
                <w:webHidden/>
              </w:rPr>
            </w:r>
            <w:r w:rsidR="00CA7023">
              <w:rPr>
                <w:webHidden/>
              </w:rPr>
              <w:fldChar w:fldCharType="separate"/>
            </w:r>
            <w:r w:rsidR="00FF5EB2">
              <w:rPr>
                <w:webHidden/>
              </w:rPr>
              <w:t>5</w:t>
            </w:r>
            <w:r w:rsidR="00CA7023">
              <w:rPr>
                <w:webHidden/>
              </w:rPr>
              <w:fldChar w:fldCharType="end"/>
            </w:r>
          </w:hyperlink>
        </w:p>
        <w:p w:rsidR="00542217" w:rsidRDefault="001474D4">
          <w:pPr>
            <w:pStyle w:val="TOC3"/>
            <w:rPr>
              <w:rFonts w:asciiTheme="minorHAnsi" w:eastAsiaTheme="minorEastAsia" w:hAnsiTheme="minorHAnsi" w:cstheme="minorBidi"/>
              <w:sz w:val="22"/>
              <w:szCs w:val="22"/>
              <w:lang w:val="en-AU" w:eastAsia="en-AU"/>
            </w:rPr>
          </w:pPr>
          <w:hyperlink w:anchor="_Toc367700215" w:history="1">
            <w:r w:rsidR="00542217" w:rsidRPr="00717126">
              <w:rPr>
                <w:rStyle w:val="Hyperlink"/>
              </w:rPr>
              <w:t>2.3.1</w:t>
            </w:r>
            <w:r w:rsidR="00542217">
              <w:rPr>
                <w:rFonts w:asciiTheme="minorHAnsi" w:eastAsiaTheme="minorEastAsia" w:hAnsiTheme="minorHAnsi" w:cstheme="minorBidi"/>
                <w:sz w:val="22"/>
                <w:szCs w:val="22"/>
                <w:lang w:val="en-AU" w:eastAsia="en-AU"/>
              </w:rPr>
              <w:tab/>
            </w:r>
            <w:r w:rsidR="00542217" w:rsidRPr="00717126">
              <w:rPr>
                <w:rStyle w:val="Hyperlink"/>
              </w:rPr>
              <w:t>The Cost of Bass Strait Shipping Services</w:t>
            </w:r>
            <w:r w:rsidR="00542217">
              <w:rPr>
                <w:webHidden/>
              </w:rPr>
              <w:tab/>
            </w:r>
            <w:r w:rsidR="00CA7023">
              <w:rPr>
                <w:webHidden/>
              </w:rPr>
              <w:fldChar w:fldCharType="begin"/>
            </w:r>
            <w:r w:rsidR="00542217">
              <w:rPr>
                <w:webHidden/>
              </w:rPr>
              <w:instrText xml:space="preserve"> PAGEREF _Toc367700215 \h </w:instrText>
            </w:r>
            <w:r w:rsidR="00CA7023">
              <w:rPr>
                <w:webHidden/>
              </w:rPr>
            </w:r>
            <w:r w:rsidR="00CA7023">
              <w:rPr>
                <w:webHidden/>
              </w:rPr>
              <w:fldChar w:fldCharType="separate"/>
            </w:r>
            <w:r w:rsidR="00FF5EB2">
              <w:rPr>
                <w:webHidden/>
              </w:rPr>
              <w:t>5</w:t>
            </w:r>
            <w:r w:rsidR="00CA7023">
              <w:rPr>
                <w:webHidden/>
              </w:rPr>
              <w:fldChar w:fldCharType="end"/>
            </w:r>
          </w:hyperlink>
        </w:p>
        <w:p w:rsidR="00542217" w:rsidRDefault="001474D4">
          <w:pPr>
            <w:pStyle w:val="TOC3"/>
            <w:rPr>
              <w:rFonts w:asciiTheme="minorHAnsi" w:eastAsiaTheme="minorEastAsia" w:hAnsiTheme="minorHAnsi" w:cstheme="minorBidi"/>
              <w:sz w:val="22"/>
              <w:szCs w:val="22"/>
              <w:lang w:val="en-AU" w:eastAsia="en-AU"/>
            </w:rPr>
          </w:pPr>
          <w:hyperlink w:anchor="_Toc367700216" w:history="1">
            <w:r w:rsidR="00542217" w:rsidRPr="00717126">
              <w:rPr>
                <w:rStyle w:val="Hyperlink"/>
              </w:rPr>
              <w:t>2.3.2</w:t>
            </w:r>
            <w:r w:rsidR="00542217">
              <w:rPr>
                <w:rFonts w:asciiTheme="minorHAnsi" w:eastAsiaTheme="minorEastAsia" w:hAnsiTheme="minorHAnsi" w:cstheme="minorBidi"/>
                <w:sz w:val="22"/>
                <w:szCs w:val="22"/>
                <w:lang w:val="en-AU" w:eastAsia="en-AU"/>
              </w:rPr>
              <w:tab/>
            </w:r>
            <w:r w:rsidR="00542217" w:rsidRPr="00717126">
              <w:rPr>
                <w:rStyle w:val="Hyperlink"/>
              </w:rPr>
              <w:t>International Liner Service Calls at Tasmania</w:t>
            </w:r>
            <w:r w:rsidR="00542217">
              <w:rPr>
                <w:webHidden/>
              </w:rPr>
              <w:tab/>
            </w:r>
            <w:r w:rsidR="00CA7023">
              <w:rPr>
                <w:webHidden/>
              </w:rPr>
              <w:fldChar w:fldCharType="begin"/>
            </w:r>
            <w:r w:rsidR="00542217">
              <w:rPr>
                <w:webHidden/>
              </w:rPr>
              <w:instrText xml:space="preserve"> PAGEREF _Toc367700216 \h </w:instrText>
            </w:r>
            <w:r w:rsidR="00CA7023">
              <w:rPr>
                <w:webHidden/>
              </w:rPr>
            </w:r>
            <w:r w:rsidR="00CA7023">
              <w:rPr>
                <w:webHidden/>
              </w:rPr>
              <w:fldChar w:fldCharType="separate"/>
            </w:r>
            <w:r w:rsidR="00FF5EB2">
              <w:rPr>
                <w:webHidden/>
              </w:rPr>
              <w:t>6</w:t>
            </w:r>
            <w:r w:rsidR="00CA7023">
              <w:rPr>
                <w:webHidden/>
              </w:rPr>
              <w:fldChar w:fldCharType="end"/>
            </w:r>
          </w:hyperlink>
        </w:p>
        <w:p w:rsidR="00542217" w:rsidRDefault="001474D4">
          <w:pPr>
            <w:pStyle w:val="TOC3"/>
            <w:rPr>
              <w:rFonts w:asciiTheme="minorHAnsi" w:eastAsiaTheme="minorEastAsia" w:hAnsiTheme="minorHAnsi" w:cstheme="minorBidi"/>
              <w:sz w:val="22"/>
              <w:szCs w:val="22"/>
              <w:lang w:val="en-AU" w:eastAsia="en-AU"/>
            </w:rPr>
          </w:pPr>
          <w:hyperlink w:anchor="_Toc367700217" w:history="1">
            <w:r w:rsidR="00542217" w:rsidRPr="00717126">
              <w:rPr>
                <w:rStyle w:val="Hyperlink"/>
              </w:rPr>
              <w:t>2.3.3</w:t>
            </w:r>
            <w:r w:rsidR="00542217">
              <w:rPr>
                <w:rFonts w:asciiTheme="minorHAnsi" w:eastAsiaTheme="minorEastAsia" w:hAnsiTheme="minorHAnsi" w:cstheme="minorBidi"/>
                <w:sz w:val="22"/>
                <w:szCs w:val="22"/>
                <w:lang w:val="en-AU" w:eastAsia="en-AU"/>
              </w:rPr>
              <w:tab/>
            </w:r>
            <w:r w:rsidR="00542217" w:rsidRPr="00717126">
              <w:rPr>
                <w:rStyle w:val="Hyperlink"/>
              </w:rPr>
              <w:t>Terminal Operation and Utilisation</w:t>
            </w:r>
            <w:r w:rsidR="00542217">
              <w:rPr>
                <w:webHidden/>
              </w:rPr>
              <w:tab/>
            </w:r>
            <w:r w:rsidR="00CA7023">
              <w:rPr>
                <w:webHidden/>
              </w:rPr>
              <w:fldChar w:fldCharType="begin"/>
            </w:r>
            <w:r w:rsidR="00542217">
              <w:rPr>
                <w:webHidden/>
              </w:rPr>
              <w:instrText xml:space="preserve"> PAGEREF _Toc367700217 \h </w:instrText>
            </w:r>
            <w:r w:rsidR="00CA7023">
              <w:rPr>
                <w:webHidden/>
              </w:rPr>
            </w:r>
            <w:r w:rsidR="00CA7023">
              <w:rPr>
                <w:webHidden/>
              </w:rPr>
              <w:fldChar w:fldCharType="separate"/>
            </w:r>
            <w:r w:rsidR="00FF5EB2">
              <w:rPr>
                <w:webHidden/>
              </w:rPr>
              <w:t>7</w:t>
            </w:r>
            <w:r w:rsidR="00CA7023">
              <w:rPr>
                <w:webHidden/>
              </w:rPr>
              <w:fldChar w:fldCharType="end"/>
            </w:r>
          </w:hyperlink>
        </w:p>
        <w:p w:rsidR="00542217" w:rsidRDefault="001474D4">
          <w:pPr>
            <w:pStyle w:val="TOC3"/>
            <w:rPr>
              <w:rFonts w:asciiTheme="minorHAnsi" w:eastAsiaTheme="minorEastAsia" w:hAnsiTheme="minorHAnsi" w:cstheme="minorBidi"/>
              <w:sz w:val="22"/>
              <w:szCs w:val="22"/>
              <w:lang w:val="en-AU" w:eastAsia="en-AU"/>
            </w:rPr>
          </w:pPr>
          <w:hyperlink w:anchor="_Toc367700218" w:history="1">
            <w:r w:rsidR="00542217" w:rsidRPr="00717126">
              <w:rPr>
                <w:rStyle w:val="Hyperlink"/>
              </w:rPr>
              <w:t>2.3.4</w:t>
            </w:r>
            <w:r w:rsidR="00542217">
              <w:rPr>
                <w:rFonts w:asciiTheme="minorHAnsi" w:eastAsiaTheme="minorEastAsia" w:hAnsiTheme="minorHAnsi" w:cstheme="minorBidi"/>
                <w:sz w:val="22"/>
                <w:szCs w:val="22"/>
                <w:lang w:val="en-AU" w:eastAsia="en-AU"/>
              </w:rPr>
              <w:tab/>
            </w:r>
            <w:r w:rsidR="00542217" w:rsidRPr="00717126">
              <w:rPr>
                <w:rStyle w:val="Hyperlink"/>
              </w:rPr>
              <w:t>Port Capacity and Future Planning</w:t>
            </w:r>
            <w:r w:rsidR="00542217">
              <w:rPr>
                <w:webHidden/>
              </w:rPr>
              <w:tab/>
            </w:r>
            <w:r w:rsidR="00CA7023">
              <w:rPr>
                <w:webHidden/>
              </w:rPr>
              <w:fldChar w:fldCharType="begin"/>
            </w:r>
            <w:r w:rsidR="00542217">
              <w:rPr>
                <w:webHidden/>
              </w:rPr>
              <w:instrText xml:space="preserve"> PAGEREF _Toc367700218 \h </w:instrText>
            </w:r>
            <w:r w:rsidR="00CA7023">
              <w:rPr>
                <w:webHidden/>
              </w:rPr>
            </w:r>
            <w:r w:rsidR="00CA7023">
              <w:rPr>
                <w:webHidden/>
              </w:rPr>
              <w:fldChar w:fldCharType="separate"/>
            </w:r>
            <w:r w:rsidR="00FF5EB2">
              <w:rPr>
                <w:webHidden/>
              </w:rPr>
              <w:t>7</w:t>
            </w:r>
            <w:r w:rsidR="00CA7023">
              <w:rPr>
                <w:webHidden/>
              </w:rPr>
              <w:fldChar w:fldCharType="end"/>
            </w:r>
          </w:hyperlink>
        </w:p>
        <w:p w:rsidR="00542217" w:rsidRDefault="001474D4">
          <w:pPr>
            <w:pStyle w:val="TOC1"/>
            <w:rPr>
              <w:rFonts w:asciiTheme="minorHAnsi" w:eastAsiaTheme="minorEastAsia" w:hAnsiTheme="minorHAnsi" w:cstheme="minorBidi"/>
              <w:b w:val="0"/>
              <w:color w:val="auto"/>
              <w:sz w:val="22"/>
              <w:szCs w:val="22"/>
              <w:lang w:val="en-AU" w:eastAsia="en-AU"/>
            </w:rPr>
          </w:pPr>
          <w:hyperlink w:anchor="_Toc367700219" w:history="1">
            <w:r w:rsidR="00542217" w:rsidRPr="00717126">
              <w:rPr>
                <w:rStyle w:val="Hyperlink"/>
              </w:rPr>
              <w:t>3</w:t>
            </w:r>
            <w:r w:rsidR="00542217">
              <w:rPr>
                <w:rFonts w:asciiTheme="minorHAnsi" w:eastAsiaTheme="minorEastAsia" w:hAnsiTheme="minorHAnsi" w:cstheme="minorBidi"/>
                <w:b w:val="0"/>
                <w:color w:val="auto"/>
                <w:sz w:val="22"/>
                <w:szCs w:val="22"/>
                <w:lang w:val="en-AU" w:eastAsia="en-AU"/>
              </w:rPr>
              <w:tab/>
            </w:r>
            <w:r w:rsidR="00542217" w:rsidRPr="00717126">
              <w:rPr>
                <w:rStyle w:val="Hyperlink"/>
              </w:rPr>
              <w:t>Study Objectives and Methodology</w:t>
            </w:r>
            <w:r w:rsidR="00542217">
              <w:rPr>
                <w:webHidden/>
              </w:rPr>
              <w:tab/>
            </w:r>
            <w:r w:rsidR="00CA7023">
              <w:rPr>
                <w:webHidden/>
              </w:rPr>
              <w:fldChar w:fldCharType="begin"/>
            </w:r>
            <w:r w:rsidR="00542217">
              <w:rPr>
                <w:webHidden/>
              </w:rPr>
              <w:instrText xml:space="preserve"> PAGEREF _Toc367700219 \h </w:instrText>
            </w:r>
            <w:r w:rsidR="00CA7023">
              <w:rPr>
                <w:webHidden/>
              </w:rPr>
            </w:r>
            <w:r w:rsidR="00CA7023">
              <w:rPr>
                <w:webHidden/>
              </w:rPr>
              <w:fldChar w:fldCharType="separate"/>
            </w:r>
            <w:r w:rsidR="00FF5EB2">
              <w:rPr>
                <w:webHidden/>
              </w:rPr>
              <w:t>8</w:t>
            </w:r>
            <w:r w:rsidR="00CA7023">
              <w:rPr>
                <w:webHidden/>
              </w:rPr>
              <w:fldChar w:fldCharType="end"/>
            </w:r>
          </w:hyperlink>
        </w:p>
        <w:p w:rsidR="00542217" w:rsidRDefault="001474D4">
          <w:pPr>
            <w:pStyle w:val="TOC1"/>
            <w:rPr>
              <w:rFonts w:asciiTheme="minorHAnsi" w:eastAsiaTheme="minorEastAsia" w:hAnsiTheme="minorHAnsi" w:cstheme="minorBidi"/>
              <w:b w:val="0"/>
              <w:color w:val="auto"/>
              <w:sz w:val="22"/>
              <w:szCs w:val="22"/>
              <w:lang w:val="en-AU" w:eastAsia="en-AU"/>
            </w:rPr>
          </w:pPr>
          <w:hyperlink w:anchor="_Toc367700220" w:history="1">
            <w:r w:rsidR="00542217" w:rsidRPr="00717126">
              <w:rPr>
                <w:rStyle w:val="Hyperlink"/>
              </w:rPr>
              <w:t>4</w:t>
            </w:r>
            <w:r w:rsidR="00542217">
              <w:rPr>
                <w:rFonts w:asciiTheme="minorHAnsi" w:eastAsiaTheme="minorEastAsia" w:hAnsiTheme="minorHAnsi" w:cstheme="minorBidi"/>
                <w:b w:val="0"/>
                <w:color w:val="auto"/>
                <w:sz w:val="22"/>
                <w:szCs w:val="22"/>
                <w:lang w:val="en-AU" w:eastAsia="en-AU"/>
              </w:rPr>
              <w:tab/>
            </w:r>
            <w:r w:rsidR="00542217" w:rsidRPr="00717126">
              <w:rPr>
                <w:rStyle w:val="Hyperlink"/>
              </w:rPr>
              <w:t>Shipping</w:t>
            </w:r>
            <w:r w:rsidR="00542217">
              <w:rPr>
                <w:webHidden/>
              </w:rPr>
              <w:tab/>
            </w:r>
            <w:r w:rsidR="00CA7023">
              <w:rPr>
                <w:webHidden/>
              </w:rPr>
              <w:fldChar w:fldCharType="begin"/>
            </w:r>
            <w:r w:rsidR="00542217">
              <w:rPr>
                <w:webHidden/>
              </w:rPr>
              <w:instrText xml:space="preserve"> PAGEREF _Toc367700220 \h </w:instrText>
            </w:r>
            <w:r w:rsidR="00CA7023">
              <w:rPr>
                <w:webHidden/>
              </w:rPr>
            </w:r>
            <w:r w:rsidR="00CA7023">
              <w:rPr>
                <w:webHidden/>
              </w:rPr>
              <w:fldChar w:fldCharType="separate"/>
            </w:r>
            <w:r w:rsidR="00FF5EB2">
              <w:rPr>
                <w:webHidden/>
              </w:rPr>
              <w:t>9</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21" w:history="1">
            <w:r w:rsidR="00542217" w:rsidRPr="00717126">
              <w:rPr>
                <w:rStyle w:val="Hyperlink"/>
              </w:rPr>
              <w:t>4.1</w:t>
            </w:r>
            <w:r w:rsidR="00542217">
              <w:rPr>
                <w:rFonts w:asciiTheme="minorHAnsi" w:eastAsiaTheme="minorEastAsia" w:hAnsiTheme="minorHAnsi" w:cstheme="minorBidi"/>
                <w:sz w:val="22"/>
                <w:szCs w:val="22"/>
                <w:lang w:val="en-AU" w:eastAsia="en-AU"/>
              </w:rPr>
              <w:tab/>
            </w:r>
            <w:r w:rsidR="00542217" w:rsidRPr="00717126">
              <w:rPr>
                <w:rStyle w:val="Hyperlink"/>
              </w:rPr>
              <w:t>Bass Strait Shipping Service Providers</w:t>
            </w:r>
            <w:r w:rsidR="00542217">
              <w:rPr>
                <w:webHidden/>
              </w:rPr>
              <w:tab/>
            </w:r>
            <w:r w:rsidR="00CA7023">
              <w:rPr>
                <w:webHidden/>
              </w:rPr>
              <w:fldChar w:fldCharType="begin"/>
            </w:r>
            <w:r w:rsidR="00542217">
              <w:rPr>
                <w:webHidden/>
              </w:rPr>
              <w:instrText xml:space="preserve"> PAGEREF _Toc367700221 \h </w:instrText>
            </w:r>
            <w:r w:rsidR="00CA7023">
              <w:rPr>
                <w:webHidden/>
              </w:rPr>
            </w:r>
            <w:r w:rsidR="00CA7023">
              <w:rPr>
                <w:webHidden/>
              </w:rPr>
              <w:fldChar w:fldCharType="separate"/>
            </w:r>
            <w:r w:rsidR="00FF5EB2">
              <w:rPr>
                <w:webHidden/>
              </w:rPr>
              <w:t>9</w:t>
            </w:r>
            <w:r w:rsidR="00CA7023">
              <w:rPr>
                <w:webHidden/>
              </w:rPr>
              <w:fldChar w:fldCharType="end"/>
            </w:r>
          </w:hyperlink>
        </w:p>
        <w:p w:rsidR="00542217" w:rsidRDefault="001474D4">
          <w:pPr>
            <w:pStyle w:val="TOC3"/>
            <w:rPr>
              <w:rFonts w:asciiTheme="minorHAnsi" w:eastAsiaTheme="minorEastAsia" w:hAnsiTheme="minorHAnsi" w:cstheme="minorBidi"/>
              <w:sz w:val="22"/>
              <w:szCs w:val="22"/>
              <w:lang w:val="en-AU" w:eastAsia="en-AU"/>
            </w:rPr>
          </w:pPr>
          <w:hyperlink w:anchor="_Toc367700222" w:history="1">
            <w:r w:rsidR="00542217" w:rsidRPr="00717126">
              <w:rPr>
                <w:rStyle w:val="Hyperlink"/>
              </w:rPr>
              <w:t>4.1.1</w:t>
            </w:r>
            <w:r w:rsidR="00542217">
              <w:rPr>
                <w:rFonts w:asciiTheme="minorHAnsi" w:eastAsiaTheme="minorEastAsia" w:hAnsiTheme="minorHAnsi" w:cstheme="minorBidi"/>
                <w:sz w:val="22"/>
                <w:szCs w:val="22"/>
                <w:lang w:val="en-AU" w:eastAsia="en-AU"/>
              </w:rPr>
              <w:tab/>
            </w:r>
            <w:r w:rsidR="00542217" w:rsidRPr="00717126">
              <w:rPr>
                <w:rStyle w:val="Hyperlink"/>
              </w:rPr>
              <w:t>TT-Line</w:t>
            </w:r>
            <w:r w:rsidR="00542217">
              <w:rPr>
                <w:webHidden/>
              </w:rPr>
              <w:tab/>
            </w:r>
            <w:r w:rsidR="00CA7023">
              <w:rPr>
                <w:webHidden/>
              </w:rPr>
              <w:fldChar w:fldCharType="begin"/>
            </w:r>
            <w:r w:rsidR="00542217">
              <w:rPr>
                <w:webHidden/>
              </w:rPr>
              <w:instrText xml:space="preserve"> PAGEREF _Toc367700222 \h </w:instrText>
            </w:r>
            <w:r w:rsidR="00CA7023">
              <w:rPr>
                <w:webHidden/>
              </w:rPr>
            </w:r>
            <w:r w:rsidR="00CA7023">
              <w:rPr>
                <w:webHidden/>
              </w:rPr>
              <w:fldChar w:fldCharType="separate"/>
            </w:r>
            <w:r w:rsidR="00FF5EB2">
              <w:rPr>
                <w:webHidden/>
              </w:rPr>
              <w:t>10</w:t>
            </w:r>
            <w:r w:rsidR="00CA7023">
              <w:rPr>
                <w:webHidden/>
              </w:rPr>
              <w:fldChar w:fldCharType="end"/>
            </w:r>
          </w:hyperlink>
        </w:p>
        <w:p w:rsidR="00542217" w:rsidRDefault="001474D4">
          <w:pPr>
            <w:pStyle w:val="TOC3"/>
            <w:rPr>
              <w:rFonts w:asciiTheme="minorHAnsi" w:eastAsiaTheme="minorEastAsia" w:hAnsiTheme="minorHAnsi" w:cstheme="minorBidi"/>
              <w:sz w:val="22"/>
              <w:szCs w:val="22"/>
              <w:lang w:val="en-AU" w:eastAsia="en-AU"/>
            </w:rPr>
          </w:pPr>
          <w:hyperlink w:anchor="_Toc367700223" w:history="1">
            <w:r w:rsidR="00542217" w:rsidRPr="00717126">
              <w:rPr>
                <w:rStyle w:val="Hyperlink"/>
              </w:rPr>
              <w:t>4.1.2</w:t>
            </w:r>
            <w:r w:rsidR="00542217">
              <w:rPr>
                <w:rFonts w:asciiTheme="minorHAnsi" w:eastAsiaTheme="minorEastAsia" w:hAnsiTheme="minorHAnsi" w:cstheme="minorBidi"/>
                <w:sz w:val="22"/>
                <w:szCs w:val="22"/>
                <w:lang w:val="en-AU" w:eastAsia="en-AU"/>
              </w:rPr>
              <w:tab/>
            </w:r>
            <w:r w:rsidR="00542217" w:rsidRPr="00717126">
              <w:rPr>
                <w:rStyle w:val="Hyperlink"/>
              </w:rPr>
              <w:t>SeaRoad Shipping</w:t>
            </w:r>
            <w:r w:rsidR="00542217">
              <w:rPr>
                <w:webHidden/>
              </w:rPr>
              <w:tab/>
            </w:r>
            <w:r w:rsidR="00CA7023">
              <w:rPr>
                <w:webHidden/>
              </w:rPr>
              <w:fldChar w:fldCharType="begin"/>
            </w:r>
            <w:r w:rsidR="00542217">
              <w:rPr>
                <w:webHidden/>
              </w:rPr>
              <w:instrText xml:space="preserve"> PAGEREF _Toc367700223 \h </w:instrText>
            </w:r>
            <w:r w:rsidR="00CA7023">
              <w:rPr>
                <w:webHidden/>
              </w:rPr>
            </w:r>
            <w:r w:rsidR="00CA7023">
              <w:rPr>
                <w:webHidden/>
              </w:rPr>
              <w:fldChar w:fldCharType="separate"/>
            </w:r>
            <w:r w:rsidR="00FF5EB2">
              <w:rPr>
                <w:webHidden/>
              </w:rPr>
              <w:t>11</w:t>
            </w:r>
            <w:r w:rsidR="00CA7023">
              <w:rPr>
                <w:webHidden/>
              </w:rPr>
              <w:fldChar w:fldCharType="end"/>
            </w:r>
          </w:hyperlink>
        </w:p>
        <w:p w:rsidR="00542217" w:rsidRDefault="001474D4">
          <w:pPr>
            <w:pStyle w:val="TOC3"/>
            <w:rPr>
              <w:rFonts w:asciiTheme="minorHAnsi" w:eastAsiaTheme="minorEastAsia" w:hAnsiTheme="minorHAnsi" w:cstheme="minorBidi"/>
              <w:sz w:val="22"/>
              <w:szCs w:val="22"/>
              <w:lang w:val="en-AU" w:eastAsia="en-AU"/>
            </w:rPr>
          </w:pPr>
          <w:hyperlink w:anchor="_Toc367700224" w:history="1">
            <w:r w:rsidR="00542217" w:rsidRPr="00717126">
              <w:rPr>
                <w:rStyle w:val="Hyperlink"/>
              </w:rPr>
              <w:t>4.1.3</w:t>
            </w:r>
            <w:r w:rsidR="00542217">
              <w:rPr>
                <w:rFonts w:asciiTheme="minorHAnsi" w:eastAsiaTheme="minorEastAsia" w:hAnsiTheme="minorHAnsi" w:cstheme="minorBidi"/>
                <w:sz w:val="22"/>
                <w:szCs w:val="22"/>
                <w:lang w:val="en-AU" w:eastAsia="en-AU"/>
              </w:rPr>
              <w:tab/>
            </w:r>
            <w:r w:rsidR="00542217" w:rsidRPr="00717126">
              <w:rPr>
                <w:rStyle w:val="Hyperlink"/>
              </w:rPr>
              <w:t>Toll-ANL</w:t>
            </w:r>
            <w:r w:rsidR="00542217">
              <w:rPr>
                <w:webHidden/>
              </w:rPr>
              <w:tab/>
            </w:r>
            <w:r w:rsidR="00CA7023">
              <w:rPr>
                <w:webHidden/>
              </w:rPr>
              <w:fldChar w:fldCharType="begin"/>
            </w:r>
            <w:r w:rsidR="00542217">
              <w:rPr>
                <w:webHidden/>
              </w:rPr>
              <w:instrText xml:space="preserve"> PAGEREF _Toc367700224 \h </w:instrText>
            </w:r>
            <w:r w:rsidR="00CA7023">
              <w:rPr>
                <w:webHidden/>
              </w:rPr>
            </w:r>
            <w:r w:rsidR="00CA7023">
              <w:rPr>
                <w:webHidden/>
              </w:rPr>
              <w:fldChar w:fldCharType="separate"/>
            </w:r>
            <w:r w:rsidR="00FF5EB2">
              <w:rPr>
                <w:webHidden/>
              </w:rPr>
              <w:t>12</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25" w:history="1">
            <w:r w:rsidR="00542217" w:rsidRPr="00717126">
              <w:rPr>
                <w:rStyle w:val="Hyperlink"/>
              </w:rPr>
              <w:t>4.2</w:t>
            </w:r>
            <w:r w:rsidR="00542217">
              <w:rPr>
                <w:rFonts w:asciiTheme="minorHAnsi" w:eastAsiaTheme="minorEastAsia" w:hAnsiTheme="minorHAnsi" w:cstheme="minorBidi"/>
                <w:sz w:val="22"/>
                <w:szCs w:val="22"/>
                <w:lang w:val="en-AU" w:eastAsia="en-AU"/>
              </w:rPr>
              <w:tab/>
            </w:r>
            <w:r w:rsidR="00542217" w:rsidRPr="00717126">
              <w:rPr>
                <w:rStyle w:val="Hyperlink"/>
              </w:rPr>
              <w:t>Features of Bass Strait Shipping Services</w:t>
            </w:r>
            <w:r w:rsidR="00542217">
              <w:rPr>
                <w:webHidden/>
              </w:rPr>
              <w:tab/>
            </w:r>
            <w:r w:rsidR="00CA7023">
              <w:rPr>
                <w:webHidden/>
              </w:rPr>
              <w:fldChar w:fldCharType="begin"/>
            </w:r>
            <w:r w:rsidR="00542217">
              <w:rPr>
                <w:webHidden/>
              </w:rPr>
              <w:instrText xml:space="preserve"> PAGEREF _Toc367700225 \h </w:instrText>
            </w:r>
            <w:r w:rsidR="00CA7023">
              <w:rPr>
                <w:webHidden/>
              </w:rPr>
            </w:r>
            <w:r w:rsidR="00CA7023">
              <w:rPr>
                <w:webHidden/>
              </w:rPr>
              <w:fldChar w:fldCharType="separate"/>
            </w:r>
            <w:r w:rsidR="00FF5EB2">
              <w:rPr>
                <w:webHidden/>
              </w:rPr>
              <w:t>12</w:t>
            </w:r>
            <w:r w:rsidR="00CA7023">
              <w:rPr>
                <w:webHidden/>
              </w:rPr>
              <w:fldChar w:fldCharType="end"/>
            </w:r>
          </w:hyperlink>
        </w:p>
        <w:p w:rsidR="00542217" w:rsidRDefault="001474D4">
          <w:pPr>
            <w:pStyle w:val="TOC3"/>
            <w:rPr>
              <w:rFonts w:asciiTheme="minorHAnsi" w:eastAsiaTheme="minorEastAsia" w:hAnsiTheme="minorHAnsi" w:cstheme="minorBidi"/>
              <w:sz w:val="22"/>
              <w:szCs w:val="22"/>
              <w:lang w:val="en-AU" w:eastAsia="en-AU"/>
            </w:rPr>
          </w:pPr>
          <w:hyperlink w:anchor="_Toc367700226" w:history="1">
            <w:r w:rsidR="00542217" w:rsidRPr="00717126">
              <w:rPr>
                <w:rStyle w:val="Hyperlink"/>
              </w:rPr>
              <w:t>4.2.1</w:t>
            </w:r>
            <w:r w:rsidR="00542217">
              <w:rPr>
                <w:rFonts w:asciiTheme="minorHAnsi" w:eastAsiaTheme="minorEastAsia" w:hAnsiTheme="minorHAnsi" w:cstheme="minorBidi"/>
                <w:sz w:val="22"/>
                <w:szCs w:val="22"/>
                <w:lang w:val="en-AU" w:eastAsia="en-AU"/>
              </w:rPr>
              <w:tab/>
            </w:r>
            <w:r w:rsidR="00542217" w:rsidRPr="00717126">
              <w:rPr>
                <w:rStyle w:val="Hyperlink"/>
              </w:rPr>
              <w:t>Overnight Services</w:t>
            </w:r>
            <w:r w:rsidR="00542217">
              <w:rPr>
                <w:webHidden/>
              </w:rPr>
              <w:tab/>
            </w:r>
            <w:r w:rsidR="00CA7023">
              <w:rPr>
                <w:webHidden/>
              </w:rPr>
              <w:fldChar w:fldCharType="begin"/>
            </w:r>
            <w:r w:rsidR="00542217">
              <w:rPr>
                <w:webHidden/>
              </w:rPr>
              <w:instrText xml:space="preserve"> PAGEREF _Toc367700226 \h </w:instrText>
            </w:r>
            <w:r w:rsidR="00CA7023">
              <w:rPr>
                <w:webHidden/>
              </w:rPr>
            </w:r>
            <w:r w:rsidR="00CA7023">
              <w:rPr>
                <w:webHidden/>
              </w:rPr>
              <w:fldChar w:fldCharType="separate"/>
            </w:r>
            <w:r w:rsidR="00FF5EB2">
              <w:rPr>
                <w:webHidden/>
              </w:rPr>
              <w:t>12</w:t>
            </w:r>
            <w:r w:rsidR="00CA7023">
              <w:rPr>
                <w:webHidden/>
              </w:rPr>
              <w:fldChar w:fldCharType="end"/>
            </w:r>
          </w:hyperlink>
        </w:p>
        <w:p w:rsidR="00542217" w:rsidRDefault="001474D4">
          <w:pPr>
            <w:pStyle w:val="TOC3"/>
            <w:rPr>
              <w:rFonts w:asciiTheme="minorHAnsi" w:eastAsiaTheme="minorEastAsia" w:hAnsiTheme="minorHAnsi" w:cstheme="minorBidi"/>
              <w:sz w:val="22"/>
              <w:szCs w:val="22"/>
              <w:lang w:val="en-AU" w:eastAsia="en-AU"/>
            </w:rPr>
          </w:pPr>
          <w:hyperlink w:anchor="_Toc367700227" w:history="1">
            <w:r w:rsidR="00542217" w:rsidRPr="00717126">
              <w:rPr>
                <w:rStyle w:val="Hyperlink"/>
              </w:rPr>
              <w:t>4.2.2</w:t>
            </w:r>
            <w:r w:rsidR="00542217">
              <w:rPr>
                <w:rFonts w:asciiTheme="minorHAnsi" w:eastAsiaTheme="minorEastAsia" w:hAnsiTheme="minorHAnsi" w:cstheme="minorBidi"/>
                <w:sz w:val="22"/>
                <w:szCs w:val="22"/>
                <w:lang w:val="en-AU" w:eastAsia="en-AU"/>
              </w:rPr>
              <w:tab/>
            </w:r>
            <w:r w:rsidR="00542217" w:rsidRPr="00717126">
              <w:rPr>
                <w:rStyle w:val="Hyperlink"/>
              </w:rPr>
              <w:t>Freight Profiles</w:t>
            </w:r>
            <w:r w:rsidR="00542217">
              <w:rPr>
                <w:webHidden/>
              </w:rPr>
              <w:tab/>
            </w:r>
            <w:r w:rsidR="00CA7023">
              <w:rPr>
                <w:webHidden/>
              </w:rPr>
              <w:fldChar w:fldCharType="begin"/>
            </w:r>
            <w:r w:rsidR="00542217">
              <w:rPr>
                <w:webHidden/>
              </w:rPr>
              <w:instrText xml:space="preserve"> PAGEREF _Toc367700227 \h </w:instrText>
            </w:r>
            <w:r w:rsidR="00CA7023">
              <w:rPr>
                <w:webHidden/>
              </w:rPr>
            </w:r>
            <w:r w:rsidR="00CA7023">
              <w:rPr>
                <w:webHidden/>
              </w:rPr>
              <w:fldChar w:fldCharType="separate"/>
            </w:r>
            <w:r w:rsidR="00FF5EB2">
              <w:rPr>
                <w:webHidden/>
              </w:rPr>
              <w:t>13</w:t>
            </w:r>
            <w:r w:rsidR="00CA7023">
              <w:rPr>
                <w:webHidden/>
              </w:rPr>
              <w:fldChar w:fldCharType="end"/>
            </w:r>
          </w:hyperlink>
        </w:p>
        <w:p w:rsidR="00542217" w:rsidRDefault="001474D4">
          <w:pPr>
            <w:pStyle w:val="TOC3"/>
            <w:rPr>
              <w:rFonts w:asciiTheme="minorHAnsi" w:eastAsiaTheme="minorEastAsia" w:hAnsiTheme="minorHAnsi" w:cstheme="minorBidi"/>
              <w:sz w:val="22"/>
              <w:szCs w:val="22"/>
              <w:lang w:val="en-AU" w:eastAsia="en-AU"/>
            </w:rPr>
          </w:pPr>
          <w:hyperlink w:anchor="_Toc367700228" w:history="1">
            <w:r w:rsidR="00542217" w:rsidRPr="00717126">
              <w:rPr>
                <w:rStyle w:val="Hyperlink"/>
              </w:rPr>
              <w:t>4.2.3</w:t>
            </w:r>
            <w:r w:rsidR="00542217">
              <w:rPr>
                <w:rFonts w:asciiTheme="minorHAnsi" w:eastAsiaTheme="minorEastAsia" w:hAnsiTheme="minorHAnsi" w:cstheme="minorBidi"/>
                <w:sz w:val="22"/>
                <w:szCs w:val="22"/>
                <w:lang w:val="en-AU" w:eastAsia="en-AU"/>
              </w:rPr>
              <w:tab/>
            </w:r>
            <w:r w:rsidR="00542217" w:rsidRPr="00717126">
              <w:rPr>
                <w:rStyle w:val="Hyperlink"/>
              </w:rPr>
              <w:t>Terminal Utilisation</w:t>
            </w:r>
            <w:r w:rsidR="00542217">
              <w:rPr>
                <w:webHidden/>
              </w:rPr>
              <w:tab/>
            </w:r>
            <w:r w:rsidR="00CA7023">
              <w:rPr>
                <w:webHidden/>
              </w:rPr>
              <w:fldChar w:fldCharType="begin"/>
            </w:r>
            <w:r w:rsidR="00542217">
              <w:rPr>
                <w:webHidden/>
              </w:rPr>
              <w:instrText xml:space="preserve"> PAGEREF _Toc367700228 \h </w:instrText>
            </w:r>
            <w:r w:rsidR="00CA7023">
              <w:rPr>
                <w:webHidden/>
              </w:rPr>
            </w:r>
            <w:r w:rsidR="00CA7023">
              <w:rPr>
                <w:webHidden/>
              </w:rPr>
              <w:fldChar w:fldCharType="separate"/>
            </w:r>
            <w:r w:rsidR="00FF5EB2">
              <w:rPr>
                <w:webHidden/>
              </w:rPr>
              <w:t>13</w:t>
            </w:r>
            <w:r w:rsidR="00CA7023">
              <w:rPr>
                <w:webHidden/>
              </w:rPr>
              <w:fldChar w:fldCharType="end"/>
            </w:r>
          </w:hyperlink>
        </w:p>
        <w:p w:rsidR="00542217" w:rsidRDefault="001474D4">
          <w:pPr>
            <w:pStyle w:val="TOC3"/>
            <w:rPr>
              <w:rFonts w:asciiTheme="minorHAnsi" w:eastAsiaTheme="minorEastAsia" w:hAnsiTheme="minorHAnsi" w:cstheme="minorBidi"/>
              <w:sz w:val="22"/>
              <w:szCs w:val="22"/>
              <w:lang w:val="en-AU" w:eastAsia="en-AU"/>
            </w:rPr>
          </w:pPr>
          <w:hyperlink w:anchor="_Toc367700229" w:history="1">
            <w:r w:rsidR="00542217" w:rsidRPr="00717126">
              <w:rPr>
                <w:rStyle w:val="Hyperlink"/>
              </w:rPr>
              <w:t>4.2.4</w:t>
            </w:r>
            <w:r w:rsidR="00542217">
              <w:rPr>
                <w:rFonts w:asciiTheme="minorHAnsi" w:eastAsiaTheme="minorEastAsia" w:hAnsiTheme="minorHAnsi" w:cstheme="minorBidi"/>
                <w:sz w:val="22"/>
                <w:szCs w:val="22"/>
                <w:lang w:val="en-AU" w:eastAsia="en-AU"/>
              </w:rPr>
              <w:tab/>
            </w:r>
            <w:r w:rsidR="00542217" w:rsidRPr="00717126">
              <w:rPr>
                <w:rStyle w:val="Hyperlink"/>
              </w:rPr>
              <w:t>International Transhipment</w:t>
            </w:r>
            <w:r w:rsidR="00542217">
              <w:rPr>
                <w:webHidden/>
              </w:rPr>
              <w:tab/>
            </w:r>
            <w:r w:rsidR="00CA7023">
              <w:rPr>
                <w:webHidden/>
              </w:rPr>
              <w:fldChar w:fldCharType="begin"/>
            </w:r>
            <w:r w:rsidR="00542217">
              <w:rPr>
                <w:webHidden/>
              </w:rPr>
              <w:instrText xml:space="preserve"> PAGEREF _Toc367700229 \h </w:instrText>
            </w:r>
            <w:r w:rsidR="00CA7023">
              <w:rPr>
                <w:webHidden/>
              </w:rPr>
            </w:r>
            <w:r w:rsidR="00CA7023">
              <w:rPr>
                <w:webHidden/>
              </w:rPr>
              <w:fldChar w:fldCharType="separate"/>
            </w:r>
            <w:r w:rsidR="00FF5EB2">
              <w:rPr>
                <w:webHidden/>
              </w:rPr>
              <w:t>13</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30" w:history="1">
            <w:r w:rsidR="00542217" w:rsidRPr="00717126">
              <w:rPr>
                <w:rStyle w:val="Hyperlink"/>
              </w:rPr>
              <w:t>4.3</w:t>
            </w:r>
            <w:r w:rsidR="00542217">
              <w:rPr>
                <w:rFonts w:asciiTheme="minorHAnsi" w:eastAsiaTheme="minorEastAsia" w:hAnsiTheme="minorHAnsi" w:cstheme="minorBidi"/>
                <w:sz w:val="22"/>
                <w:szCs w:val="22"/>
                <w:lang w:val="en-AU" w:eastAsia="en-AU"/>
              </w:rPr>
              <w:tab/>
            </w:r>
            <w:r w:rsidR="00542217" w:rsidRPr="00717126">
              <w:rPr>
                <w:rStyle w:val="Hyperlink"/>
              </w:rPr>
              <w:t>Issues Affecting the Cost of Shipping across Bass Strait</w:t>
            </w:r>
            <w:r w:rsidR="00542217">
              <w:rPr>
                <w:webHidden/>
              </w:rPr>
              <w:tab/>
            </w:r>
            <w:r w:rsidR="00CA7023">
              <w:rPr>
                <w:webHidden/>
              </w:rPr>
              <w:fldChar w:fldCharType="begin"/>
            </w:r>
            <w:r w:rsidR="00542217">
              <w:rPr>
                <w:webHidden/>
              </w:rPr>
              <w:instrText xml:space="preserve"> PAGEREF _Toc367700230 \h </w:instrText>
            </w:r>
            <w:r w:rsidR="00CA7023">
              <w:rPr>
                <w:webHidden/>
              </w:rPr>
            </w:r>
            <w:r w:rsidR="00CA7023">
              <w:rPr>
                <w:webHidden/>
              </w:rPr>
              <w:fldChar w:fldCharType="separate"/>
            </w:r>
            <w:r w:rsidR="00FF5EB2">
              <w:rPr>
                <w:webHidden/>
              </w:rPr>
              <w:t>14</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31" w:history="1">
            <w:r w:rsidR="00542217" w:rsidRPr="00717126">
              <w:rPr>
                <w:rStyle w:val="Hyperlink"/>
              </w:rPr>
              <w:t>4.4</w:t>
            </w:r>
            <w:r w:rsidR="00542217">
              <w:rPr>
                <w:rFonts w:asciiTheme="minorHAnsi" w:eastAsiaTheme="minorEastAsia" w:hAnsiTheme="minorHAnsi" w:cstheme="minorBidi"/>
                <w:sz w:val="22"/>
                <w:szCs w:val="22"/>
                <w:lang w:val="en-AU" w:eastAsia="en-AU"/>
              </w:rPr>
              <w:tab/>
            </w:r>
            <w:r w:rsidR="00542217" w:rsidRPr="00717126">
              <w:rPr>
                <w:rStyle w:val="Hyperlink"/>
              </w:rPr>
              <w:t>Overseas Short Sea RORO Shipping Service Rates</w:t>
            </w:r>
            <w:r w:rsidR="00542217">
              <w:rPr>
                <w:webHidden/>
              </w:rPr>
              <w:tab/>
            </w:r>
            <w:r w:rsidR="00CA7023">
              <w:rPr>
                <w:webHidden/>
              </w:rPr>
              <w:fldChar w:fldCharType="begin"/>
            </w:r>
            <w:r w:rsidR="00542217">
              <w:rPr>
                <w:webHidden/>
              </w:rPr>
              <w:instrText xml:space="preserve"> PAGEREF _Toc367700231 \h </w:instrText>
            </w:r>
            <w:r w:rsidR="00CA7023">
              <w:rPr>
                <w:webHidden/>
              </w:rPr>
            </w:r>
            <w:r w:rsidR="00CA7023">
              <w:rPr>
                <w:webHidden/>
              </w:rPr>
              <w:fldChar w:fldCharType="separate"/>
            </w:r>
            <w:r w:rsidR="00FF5EB2">
              <w:rPr>
                <w:webHidden/>
              </w:rPr>
              <w:t>15</w:t>
            </w:r>
            <w:r w:rsidR="00CA7023">
              <w:rPr>
                <w:webHidden/>
              </w:rPr>
              <w:fldChar w:fldCharType="end"/>
            </w:r>
          </w:hyperlink>
        </w:p>
        <w:p w:rsidR="00542217" w:rsidRDefault="001474D4">
          <w:pPr>
            <w:pStyle w:val="TOC3"/>
            <w:rPr>
              <w:rFonts w:asciiTheme="minorHAnsi" w:eastAsiaTheme="minorEastAsia" w:hAnsiTheme="minorHAnsi" w:cstheme="minorBidi"/>
              <w:sz w:val="22"/>
              <w:szCs w:val="22"/>
              <w:lang w:val="en-AU" w:eastAsia="en-AU"/>
            </w:rPr>
          </w:pPr>
          <w:hyperlink w:anchor="_Toc367700232" w:history="1">
            <w:r w:rsidR="00542217" w:rsidRPr="00717126">
              <w:rPr>
                <w:rStyle w:val="Hyperlink"/>
              </w:rPr>
              <w:t>4.4.1</w:t>
            </w:r>
            <w:r w:rsidR="00542217">
              <w:rPr>
                <w:rFonts w:asciiTheme="minorHAnsi" w:eastAsiaTheme="minorEastAsia" w:hAnsiTheme="minorHAnsi" w:cstheme="minorBidi"/>
                <w:sz w:val="22"/>
                <w:szCs w:val="22"/>
                <w:lang w:val="en-AU" w:eastAsia="en-AU"/>
              </w:rPr>
              <w:tab/>
            </w:r>
            <w:r w:rsidR="00542217" w:rsidRPr="00717126">
              <w:rPr>
                <w:rStyle w:val="Hyperlink"/>
              </w:rPr>
              <w:t>Comparison of Services and Rates Across the Cook Strait</w:t>
            </w:r>
            <w:r w:rsidR="00542217">
              <w:rPr>
                <w:webHidden/>
              </w:rPr>
              <w:tab/>
            </w:r>
            <w:r w:rsidR="00CA7023">
              <w:rPr>
                <w:webHidden/>
              </w:rPr>
              <w:fldChar w:fldCharType="begin"/>
            </w:r>
            <w:r w:rsidR="00542217">
              <w:rPr>
                <w:webHidden/>
              </w:rPr>
              <w:instrText xml:space="preserve"> PAGEREF _Toc367700232 \h </w:instrText>
            </w:r>
            <w:r w:rsidR="00CA7023">
              <w:rPr>
                <w:webHidden/>
              </w:rPr>
            </w:r>
            <w:r w:rsidR="00CA7023">
              <w:rPr>
                <w:webHidden/>
              </w:rPr>
              <w:fldChar w:fldCharType="separate"/>
            </w:r>
            <w:r w:rsidR="00FF5EB2">
              <w:rPr>
                <w:webHidden/>
              </w:rPr>
              <w:t>15</w:t>
            </w:r>
            <w:r w:rsidR="00CA7023">
              <w:rPr>
                <w:webHidden/>
              </w:rPr>
              <w:fldChar w:fldCharType="end"/>
            </w:r>
          </w:hyperlink>
        </w:p>
        <w:p w:rsidR="00542217" w:rsidRDefault="001474D4">
          <w:pPr>
            <w:pStyle w:val="TOC3"/>
            <w:rPr>
              <w:rFonts w:asciiTheme="minorHAnsi" w:eastAsiaTheme="minorEastAsia" w:hAnsiTheme="minorHAnsi" w:cstheme="minorBidi"/>
              <w:sz w:val="22"/>
              <w:szCs w:val="22"/>
              <w:lang w:val="en-AU" w:eastAsia="en-AU"/>
            </w:rPr>
          </w:pPr>
          <w:hyperlink w:anchor="_Toc367700233" w:history="1">
            <w:r w:rsidR="00542217" w:rsidRPr="00717126">
              <w:rPr>
                <w:rStyle w:val="Hyperlink"/>
              </w:rPr>
              <w:t>4.4.2</w:t>
            </w:r>
            <w:r w:rsidR="00542217">
              <w:rPr>
                <w:rFonts w:asciiTheme="minorHAnsi" w:eastAsiaTheme="minorEastAsia" w:hAnsiTheme="minorHAnsi" w:cstheme="minorBidi"/>
                <w:sz w:val="22"/>
                <w:szCs w:val="22"/>
                <w:lang w:val="en-AU" w:eastAsia="en-AU"/>
              </w:rPr>
              <w:tab/>
            </w:r>
            <w:r w:rsidR="00542217" w:rsidRPr="00717126">
              <w:rPr>
                <w:rStyle w:val="Hyperlink"/>
              </w:rPr>
              <w:t>Comparison of Services and Rates Across the North Sea</w:t>
            </w:r>
            <w:r w:rsidR="00542217">
              <w:rPr>
                <w:webHidden/>
              </w:rPr>
              <w:tab/>
            </w:r>
            <w:r w:rsidR="00CA7023">
              <w:rPr>
                <w:webHidden/>
              </w:rPr>
              <w:fldChar w:fldCharType="begin"/>
            </w:r>
            <w:r w:rsidR="00542217">
              <w:rPr>
                <w:webHidden/>
              </w:rPr>
              <w:instrText xml:space="preserve"> PAGEREF _Toc367700233 \h </w:instrText>
            </w:r>
            <w:r w:rsidR="00CA7023">
              <w:rPr>
                <w:webHidden/>
              </w:rPr>
            </w:r>
            <w:r w:rsidR="00CA7023">
              <w:rPr>
                <w:webHidden/>
              </w:rPr>
              <w:fldChar w:fldCharType="separate"/>
            </w:r>
            <w:r w:rsidR="00FF5EB2">
              <w:rPr>
                <w:webHidden/>
              </w:rPr>
              <w:t>16</w:t>
            </w:r>
            <w:r w:rsidR="00CA7023">
              <w:rPr>
                <w:webHidden/>
              </w:rPr>
              <w:fldChar w:fldCharType="end"/>
            </w:r>
          </w:hyperlink>
        </w:p>
        <w:p w:rsidR="00542217" w:rsidRDefault="001474D4">
          <w:pPr>
            <w:pStyle w:val="TOC3"/>
            <w:rPr>
              <w:rFonts w:asciiTheme="minorHAnsi" w:eastAsiaTheme="minorEastAsia" w:hAnsiTheme="minorHAnsi" w:cstheme="minorBidi"/>
              <w:sz w:val="22"/>
              <w:szCs w:val="22"/>
              <w:lang w:val="en-AU" w:eastAsia="en-AU"/>
            </w:rPr>
          </w:pPr>
          <w:hyperlink w:anchor="_Toc367700234" w:history="1">
            <w:r w:rsidR="00542217" w:rsidRPr="00717126">
              <w:rPr>
                <w:rStyle w:val="Hyperlink"/>
              </w:rPr>
              <w:t>4.4.3</w:t>
            </w:r>
            <w:r w:rsidR="00542217">
              <w:rPr>
                <w:rFonts w:asciiTheme="minorHAnsi" w:eastAsiaTheme="minorEastAsia" w:hAnsiTheme="minorHAnsi" w:cstheme="minorBidi"/>
                <w:sz w:val="22"/>
                <w:szCs w:val="22"/>
                <w:lang w:val="en-AU" w:eastAsia="en-AU"/>
              </w:rPr>
              <w:tab/>
            </w:r>
            <w:r w:rsidR="00542217" w:rsidRPr="00717126">
              <w:rPr>
                <w:rStyle w:val="Hyperlink"/>
              </w:rPr>
              <w:t>Consideration of Services Between Spain and Majorca/Las Palmas</w:t>
            </w:r>
            <w:r w:rsidR="00542217">
              <w:rPr>
                <w:webHidden/>
              </w:rPr>
              <w:tab/>
            </w:r>
            <w:r w:rsidR="00CA7023">
              <w:rPr>
                <w:webHidden/>
              </w:rPr>
              <w:fldChar w:fldCharType="begin"/>
            </w:r>
            <w:r w:rsidR="00542217">
              <w:rPr>
                <w:webHidden/>
              </w:rPr>
              <w:instrText xml:space="preserve"> PAGEREF _Toc367700234 \h </w:instrText>
            </w:r>
            <w:r w:rsidR="00CA7023">
              <w:rPr>
                <w:webHidden/>
              </w:rPr>
            </w:r>
            <w:r w:rsidR="00CA7023">
              <w:rPr>
                <w:webHidden/>
              </w:rPr>
              <w:fldChar w:fldCharType="separate"/>
            </w:r>
            <w:r w:rsidR="00FF5EB2">
              <w:rPr>
                <w:webHidden/>
              </w:rPr>
              <w:t>17</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35" w:history="1">
            <w:r w:rsidR="00542217" w:rsidRPr="00717126">
              <w:rPr>
                <w:rStyle w:val="Hyperlink"/>
              </w:rPr>
              <w:t>4.5</w:t>
            </w:r>
            <w:r w:rsidR="00542217">
              <w:rPr>
                <w:rFonts w:asciiTheme="minorHAnsi" w:eastAsiaTheme="minorEastAsia" w:hAnsiTheme="minorHAnsi" w:cstheme="minorBidi"/>
                <w:sz w:val="22"/>
                <w:szCs w:val="22"/>
                <w:lang w:val="en-AU" w:eastAsia="en-AU"/>
              </w:rPr>
              <w:tab/>
            </w:r>
            <w:r w:rsidR="00542217" w:rsidRPr="00717126">
              <w:rPr>
                <w:rStyle w:val="Hyperlink"/>
              </w:rPr>
              <w:t>International Liner Service Calls at Tasmania</w:t>
            </w:r>
            <w:r w:rsidR="00542217">
              <w:rPr>
                <w:webHidden/>
              </w:rPr>
              <w:tab/>
            </w:r>
            <w:r w:rsidR="00CA7023">
              <w:rPr>
                <w:webHidden/>
              </w:rPr>
              <w:fldChar w:fldCharType="begin"/>
            </w:r>
            <w:r w:rsidR="00542217">
              <w:rPr>
                <w:webHidden/>
              </w:rPr>
              <w:instrText xml:space="preserve"> PAGEREF _Toc367700235 \h </w:instrText>
            </w:r>
            <w:r w:rsidR="00CA7023">
              <w:rPr>
                <w:webHidden/>
              </w:rPr>
            </w:r>
            <w:r w:rsidR="00CA7023">
              <w:rPr>
                <w:webHidden/>
              </w:rPr>
              <w:fldChar w:fldCharType="separate"/>
            </w:r>
            <w:r w:rsidR="00FF5EB2">
              <w:rPr>
                <w:webHidden/>
              </w:rPr>
              <w:t>19</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36" w:history="1">
            <w:r w:rsidR="00542217" w:rsidRPr="00717126">
              <w:rPr>
                <w:rStyle w:val="Hyperlink"/>
              </w:rPr>
              <w:t>4.6</w:t>
            </w:r>
            <w:r w:rsidR="00542217">
              <w:rPr>
                <w:rFonts w:asciiTheme="minorHAnsi" w:eastAsiaTheme="minorEastAsia" w:hAnsiTheme="minorHAnsi" w:cstheme="minorBidi"/>
                <w:sz w:val="22"/>
                <w:szCs w:val="22"/>
                <w:lang w:val="en-AU" w:eastAsia="en-AU"/>
              </w:rPr>
              <w:tab/>
            </w:r>
            <w:r w:rsidR="00542217" w:rsidRPr="00717126">
              <w:rPr>
                <w:rStyle w:val="Hyperlink"/>
              </w:rPr>
              <w:t>Shipping Economics</w:t>
            </w:r>
            <w:r w:rsidR="00542217">
              <w:rPr>
                <w:webHidden/>
              </w:rPr>
              <w:tab/>
            </w:r>
            <w:r w:rsidR="00CA7023">
              <w:rPr>
                <w:webHidden/>
              </w:rPr>
              <w:fldChar w:fldCharType="begin"/>
            </w:r>
            <w:r w:rsidR="00542217">
              <w:rPr>
                <w:webHidden/>
              </w:rPr>
              <w:instrText xml:space="preserve"> PAGEREF _Toc367700236 \h </w:instrText>
            </w:r>
            <w:r w:rsidR="00CA7023">
              <w:rPr>
                <w:webHidden/>
              </w:rPr>
            </w:r>
            <w:r w:rsidR="00CA7023">
              <w:rPr>
                <w:webHidden/>
              </w:rPr>
              <w:fldChar w:fldCharType="separate"/>
            </w:r>
            <w:r w:rsidR="00FF5EB2">
              <w:rPr>
                <w:webHidden/>
              </w:rPr>
              <w:t>22</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37" w:history="1">
            <w:r w:rsidR="00542217" w:rsidRPr="00717126">
              <w:rPr>
                <w:rStyle w:val="Hyperlink"/>
              </w:rPr>
              <w:t>4.7</w:t>
            </w:r>
            <w:r w:rsidR="00542217">
              <w:rPr>
                <w:rFonts w:asciiTheme="minorHAnsi" w:eastAsiaTheme="minorEastAsia" w:hAnsiTheme="minorHAnsi" w:cstheme="minorBidi"/>
                <w:sz w:val="22"/>
                <w:szCs w:val="22"/>
                <w:lang w:val="en-AU" w:eastAsia="en-AU"/>
              </w:rPr>
              <w:tab/>
            </w:r>
            <w:r w:rsidR="00542217" w:rsidRPr="00717126">
              <w:rPr>
                <w:rStyle w:val="Hyperlink"/>
              </w:rPr>
              <w:t>A Comparison of Service Features of International Liner Services and Bass Strait Services</w:t>
            </w:r>
            <w:r w:rsidR="00542217">
              <w:rPr>
                <w:webHidden/>
              </w:rPr>
              <w:tab/>
            </w:r>
            <w:r w:rsidR="00CA7023">
              <w:rPr>
                <w:webHidden/>
              </w:rPr>
              <w:fldChar w:fldCharType="begin"/>
            </w:r>
            <w:r w:rsidR="00542217">
              <w:rPr>
                <w:webHidden/>
              </w:rPr>
              <w:instrText xml:space="preserve"> PAGEREF _Toc367700237 \h </w:instrText>
            </w:r>
            <w:r w:rsidR="00CA7023">
              <w:rPr>
                <w:webHidden/>
              </w:rPr>
            </w:r>
            <w:r w:rsidR="00CA7023">
              <w:rPr>
                <w:webHidden/>
              </w:rPr>
              <w:fldChar w:fldCharType="separate"/>
            </w:r>
            <w:r w:rsidR="00FF5EB2">
              <w:rPr>
                <w:webHidden/>
              </w:rPr>
              <w:t>24</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38" w:history="1">
            <w:r w:rsidR="00542217" w:rsidRPr="00717126">
              <w:rPr>
                <w:rStyle w:val="Hyperlink"/>
              </w:rPr>
              <w:t>4.8</w:t>
            </w:r>
            <w:r w:rsidR="00542217">
              <w:rPr>
                <w:rFonts w:asciiTheme="minorHAnsi" w:eastAsiaTheme="minorEastAsia" w:hAnsiTheme="minorHAnsi" w:cstheme="minorBidi"/>
                <w:sz w:val="22"/>
                <w:szCs w:val="22"/>
                <w:lang w:val="en-AU" w:eastAsia="en-AU"/>
              </w:rPr>
              <w:tab/>
            </w:r>
            <w:r w:rsidR="00542217" w:rsidRPr="00717126">
              <w:rPr>
                <w:rStyle w:val="Hyperlink"/>
              </w:rPr>
              <w:t>Indicative Freight Rates for Liner Services to and From Australia</w:t>
            </w:r>
            <w:r w:rsidR="00542217">
              <w:rPr>
                <w:webHidden/>
              </w:rPr>
              <w:tab/>
            </w:r>
            <w:r w:rsidR="00CA7023">
              <w:rPr>
                <w:webHidden/>
              </w:rPr>
              <w:fldChar w:fldCharType="begin"/>
            </w:r>
            <w:r w:rsidR="00542217">
              <w:rPr>
                <w:webHidden/>
              </w:rPr>
              <w:instrText xml:space="preserve"> PAGEREF _Toc367700238 \h </w:instrText>
            </w:r>
            <w:r w:rsidR="00CA7023">
              <w:rPr>
                <w:webHidden/>
              </w:rPr>
            </w:r>
            <w:r w:rsidR="00CA7023">
              <w:rPr>
                <w:webHidden/>
              </w:rPr>
              <w:fldChar w:fldCharType="separate"/>
            </w:r>
            <w:r w:rsidR="00FF5EB2">
              <w:rPr>
                <w:webHidden/>
              </w:rPr>
              <w:t>24</w:t>
            </w:r>
            <w:r w:rsidR="00CA7023">
              <w:rPr>
                <w:webHidden/>
              </w:rPr>
              <w:fldChar w:fldCharType="end"/>
            </w:r>
          </w:hyperlink>
        </w:p>
        <w:p w:rsidR="00542217" w:rsidRDefault="001474D4">
          <w:pPr>
            <w:pStyle w:val="TOC1"/>
            <w:rPr>
              <w:rFonts w:asciiTheme="minorHAnsi" w:eastAsiaTheme="minorEastAsia" w:hAnsiTheme="minorHAnsi" w:cstheme="minorBidi"/>
              <w:b w:val="0"/>
              <w:color w:val="auto"/>
              <w:sz w:val="22"/>
              <w:szCs w:val="22"/>
              <w:lang w:val="en-AU" w:eastAsia="en-AU"/>
            </w:rPr>
          </w:pPr>
          <w:hyperlink w:anchor="_Toc367700239" w:history="1">
            <w:r w:rsidR="00542217" w:rsidRPr="00717126">
              <w:rPr>
                <w:rStyle w:val="Hyperlink"/>
              </w:rPr>
              <w:t>5</w:t>
            </w:r>
            <w:r w:rsidR="00542217">
              <w:rPr>
                <w:rFonts w:asciiTheme="minorHAnsi" w:eastAsiaTheme="minorEastAsia" w:hAnsiTheme="minorHAnsi" w:cstheme="minorBidi"/>
                <w:b w:val="0"/>
                <w:color w:val="auto"/>
                <w:sz w:val="22"/>
                <w:szCs w:val="22"/>
                <w:lang w:val="en-AU" w:eastAsia="en-AU"/>
              </w:rPr>
              <w:tab/>
            </w:r>
            <w:r w:rsidR="00542217" w:rsidRPr="00717126">
              <w:rPr>
                <w:rStyle w:val="Hyperlink"/>
              </w:rPr>
              <w:t>Ports</w:t>
            </w:r>
            <w:r w:rsidR="00542217">
              <w:rPr>
                <w:webHidden/>
              </w:rPr>
              <w:tab/>
            </w:r>
            <w:r w:rsidR="00CA7023">
              <w:rPr>
                <w:webHidden/>
              </w:rPr>
              <w:fldChar w:fldCharType="begin"/>
            </w:r>
            <w:r w:rsidR="00542217">
              <w:rPr>
                <w:webHidden/>
              </w:rPr>
              <w:instrText xml:space="preserve"> PAGEREF _Toc367700239 \h </w:instrText>
            </w:r>
            <w:r w:rsidR="00CA7023">
              <w:rPr>
                <w:webHidden/>
              </w:rPr>
            </w:r>
            <w:r w:rsidR="00CA7023">
              <w:rPr>
                <w:webHidden/>
              </w:rPr>
              <w:fldChar w:fldCharType="separate"/>
            </w:r>
            <w:r w:rsidR="00FF5EB2">
              <w:rPr>
                <w:webHidden/>
              </w:rPr>
              <w:t>26</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40" w:history="1">
            <w:r w:rsidR="00542217" w:rsidRPr="00717126">
              <w:rPr>
                <w:rStyle w:val="Hyperlink"/>
              </w:rPr>
              <w:t>5.1</w:t>
            </w:r>
            <w:r w:rsidR="00542217">
              <w:rPr>
                <w:rFonts w:asciiTheme="minorHAnsi" w:eastAsiaTheme="minorEastAsia" w:hAnsiTheme="minorHAnsi" w:cstheme="minorBidi"/>
                <w:sz w:val="22"/>
                <w:szCs w:val="22"/>
                <w:lang w:val="en-AU" w:eastAsia="en-AU"/>
              </w:rPr>
              <w:tab/>
            </w:r>
            <w:r w:rsidR="00542217" w:rsidRPr="00717126">
              <w:rPr>
                <w:rStyle w:val="Hyperlink"/>
              </w:rPr>
              <w:t>Terminal Features</w:t>
            </w:r>
            <w:r w:rsidR="00542217">
              <w:rPr>
                <w:webHidden/>
              </w:rPr>
              <w:tab/>
            </w:r>
            <w:r w:rsidR="00CA7023">
              <w:rPr>
                <w:webHidden/>
              </w:rPr>
              <w:fldChar w:fldCharType="begin"/>
            </w:r>
            <w:r w:rsidR="00542217">
              <w:rPr>
                <w:webHidden/>
              </w:rPr>
              <w:instrText xml:space="preserve"> PAGEREF _Toc367700240 \h </w:instrText>
            </w:r>
            <w:r w:rsidR="00CA7023">
              <w:rPr>
                <w:webHidden/>
              </w:rPr>
            </w:r>
            <w:r w:rsidR="00CA7023">
              <w:rPr>
                <w:webHidden/>
              </w:rPr>
              <w:fldChar w:fldCharType="separate"/>
            </w:r>
            <w:r w:rsidR="00FF5EB2">
              <w:rPr>
                <w:webHidden/>
              </w:rPr>
              <w:t>26</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41" w:history="1">
            <w:r w:rsidR="00542217" w:rsidRPr="00717126">
              <w:rPr>
                <w:rStyle w:val="Hyperlink"/>
              </w:rPr>
              <w:t>5.2</w:t>
            </w:r>
            <w:r w:rsidR="00542217">
              <w:rPr>
                <w:rFonts w:asciiTheme="minorHAnsi" w:eastAsiaTheme="minorEastAsia" w:hAnsiTheme="minorHAnsi" w:cstheme="minorBidi"/>
                <w:sz w:val="22"/>
                <w:szCs w:val="22"/>
                <w:lang w:val="en-AU" w:eastAsia="en-AU"/>
              </w:rPr>
              <w:tab/>
            </w:r>
            <w:r w:rsidR="00542217" w:rsidRPr="00717126">
              <w:rPr>
                <w:rStyle w:val="Hyperlink"/>
              </w:rPr>
              <w:t>A Comparison of Tasmania’s Northern Ports</w:t>
            </w:r>
            <w:r w:rsidR="00542217">
              <w:rPr>
                <w:webHidden/>
              </w:rPr>
              <w:tab/>
            </w:r>
            <w:r w:rsidR="00CA7023">
              <w:rPr>
                <w:webHidden/>
              </w:rPr>
              <w:fldChar w:fldCharType="begin"/>
            </w:r>
            <w:r w:rsidR="00542217">
              <w:rPr>
                <w:webHidden/>
              </w:rPr>
              <w:instrText xml:space="preserve"> PAGEREF _Toc367700241 \h </w:instrText>
            </w:r>
            <w:r w:rsidR="00CA7023">
              <w:rPr>
                <w:webHidden/>
              </w:rPr>
            </w:r>
            <w:r w:rsidR="00CA7023">
              <w:rPr>
                <w:webHidden/>
              </w:rPr>
              <w:fldChar w:fldCharType="separate"/>
            </w:r>
            <w:r w:rsidR="00FF5EB2">
              <w:rPr>
                <w:webHidden/>
              </w:rPr>
              <w:t>29</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42" w:history="1">
            <w:r w:rsidR="00542217" w:rsidRPr="00717126">
              <w:rPr>
                <w:rStyle w:val="Hyperlink"/>
              </w:rPr>
              <w:t>5.3</w:t>
            </w:r>
            <w:r w:rsidR="00542217">
              <w:rPr>
                <w:rFonts w:asciiTheme="minorHAnsi" w:eastAsiaTheme="minorEastAsia" w:hAnsiTheme="minorHAnsi" w:cstheme="minorBidi"/>
                <w:sz w:val="22"/>
                <w:szCs w:val="22"/>
                <w:lang w:val="en-AU" w:eastAsia="en-AU"/>
              </w:rPr>
              <w:tab/>
            </w:r>
            <w:r w:rsidR="00542217" w:rsidRPr="00717126">
              <w:rPr>
                <w:rStyle w:val="Hyperlink"/>
              </w:rPr>
              <w:t>Commentary Tasmania’s Northern Ports</w:t>
            </w:r>
            <w:r w:rsidR="00542217">
              <w:rPr>
                <w:webHidden/>
              </w:rPr>
              <w:tab/>
            </w:r>
            <w:r w:rsidR="00CA7023">
              <w:rPr>
                <w:webHidden/>
              </w:rPr>
              <w:fldChar w:fldCharType="begin"/>
            </w:r>
            <w:r w:rsidR="00542217">
              <w:rPr>
                <w:webHidden/>
              </w:rPr>
              <w:instrText xml:space="preserve"> PAGEREF _Toc367700242 \h </w:instrText>
            </w:r>
            <w:r w:rsidR="00CA7023">
              <w:rPr>
                <w:webHidden/>
              </w:rPr>
            </w:r>
            <w:r w:rsidR="00CA7023">
              <w:rPr>
                <w:webHidden/>
              </w:rPr>
              <w:fldChar w:fldCharType="separate"/>
            </w:r>
            <w:r w:rsidR="00FF5EB2">
              <w:rPr>
                <w:webHidden/>
              </w:rPr>
              <w:t>30</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43" w:history="1">
            <w:r w:rsidR="00542217" w:rsidRPr="00717126">
              <w:rPr>
                <w:rStyle w:val="Hyperlink"/>
              </w:rPr>
              <w:t>5.4</w:t>
            </w:r>
            <w:r w:rsidR="00542217">
              <w:rPr>
                <w:rFonts w:asciiTheme="minorHAnsi" w:eastAsiaTheme="minorEastAsia" w:hAnsiTheme="minorHAnsi" w:cstheme="minorBidi"/>
                <w:sz w:val="22"/>
                <w:szCs w:val="22"/>
                <w:lang w:val="en-AU" w:eastAsia="en-AU"/>
              </w:rPr>
              <w:tab/>
            </w:r>
            <w:r w:rsidR="00542217" w:rsidRPr="00717126">
              <w:rPr>
                <w:rStyle w:val="Hyperlink"/>
              </w:rPr>
              <w:t>Freight Specialisation of Tasmania’s Northern Ports</w:t>
            </w:r>
            <w:r w:rsidR="00542217">
              <w:rPr>
                <w:webHidden/>
              </w:rPr>
              <w:tab/>
            </w:r>
            <w:r w:rsidR="00CA7023">
              <w:rPr>
                <w:webHidden/>
              </w:rPr>
              <w:fldChar w:fldCharType="begin"/>
            </w:r>
            <w:r w:rsidR="00542217">
              <w:rPr>
                <w:webHidden/>
              </w:rPr>
              <w:instrText xml:space="preserve"> PAGEREF _Toc367700243 \h </w:instrText>
            </w:r>
            <w:r w:rsidR="00CA7023">
              <w:rPr>
                <w:webHidden/>
              </w:rPr>
            </w:r>
            <w:r w:rsidR="00CA7023">
              <w:rPr>
                <w:webHidden/>
              </w:rPr>
              <w:fldChar w:fldCharType="separate"/>
            </w:r>
            <w:r w:rsidR="00FF5EB2">
              <w:rPr>
                <w:webHidden/>
              </w:rPr>
              <w:t>31</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44" w:history="1">
            <w:r w:rsidR="00542217" w:rsidRPr="00717126">
              <w:rPr>
                <w:rStyle w:val="Hyperlink"/>
              </w:rPr>
              <w:t>5.5</w:t>
            </w:r>
            <w:r w:rsidR="00542217">
              <w:rPr>
                <w:rFonts w:asciiTheme="minorHAnsi" w:eastAsiaTheme="minorEastAsia" w:hAnsiTheme="minorHAnsi" w:cstheme="minorBidi"/>
                <w:sz w:val="22"/>
                <w:szCs w:val="22"/>
                <w:lang w:val="en-AU" w:eastAsia="en-AU"/>
              </w:rPr>
              <w:tab/>
            </w:r>
            <w:r w:rsidR="00542217" w:rsidRPr="00717126">
              <w:rPr>
                <w:rStyle w:val="Hyperlink"/>
              </w:rPr>
              <w:t>Port Productivity</w:t>
            </w:r>
            <w:r w:rsidR="00542217">
              <w:rPr>
                <w:webHidden/>
              </w:rPr>
              <w:tab/>
            </w:r>
            <w:r w:rsidR="00CA7023">
              <w:rPr>
                <w:webHidden/>
              </w:rPr>
              <w:fldChar w:fldCharType="begin"/>
            </w:r>
            <w:r w:rsidR="00542217">
              <w:rPr>
                <w:webHidden/>
              </w:rPr>
              <w:instrText xml:space="preserve"> PAGEREF _Toc367700244 \h </w:instrText>
            </w:r>
            <w:r w:rsidR="00CA7023">
              <w:rPr>
                <w:webHidden/>
              </w:rPr>
            </w:r>
            <w:r w:rsidR="00CA7023">
              <w:rPr>
                <w:webHidden/>
              </w:rPr>
              <w:fldChar w:fldCharType="separate"/>
            </w:r>
            <w:r w:rsidR="00FF5EB2">
              <w:rPr>
                <w:webHidden/>
              </w:rPr>
              <w:t>34</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45" w:history="1">
            <w:r w:rsidR="00542217" w:rsidRPr="00717126">
              <w:rPr>
                <w:rStyle w:val="Hyperlink"/>
              </w:rPr>
              <w:t>5.6</w:t>
            </w:r>
            <w:r w:rsidR="00542217">
              <w:rPr>
                <w:rFonts w:asciiTheme="minorHAnsi" w:eastAsiaTheme="minorEastAsia" w:hAnsiTheme="minorHAnsi" w:cstheme="minorBidi"/>
                <w:sz w:val="22"/>
                <w:szCs w:val="22"/>
                <w:lang w:val="en-AU" w:eastAsia="en-AU"/>
              </w:rPr>
              <w:tab/>
            </w:r>
            <w:r w:rsidR="00542217" w:rsidRPr="00717126">
              <w:rPr>
                <w:rStyle w:val="Hyperlink"/>
              </w:rPr>
              <w:t>Port Expansion</w:t>
            </w:r>
            <w:r w:rsidR="00542217">
              <w:rPr>
                <w:webHidden/>
              </w:rPr>
              <w:tab/>
            </w:r>
            <w:r w:rsidR="00CA7023">
              <w:rPr>
                <w:webHidden/>
              </w:rPr>
              <w:fldChar w:fldCharType="begin"/>
            </w:r>
            <w:r w:rsidR="00542217">
              <w:rPr>
                <w:webHidden/>
              </w:rPr>
              <w:instrText xml:space="preserve"> PAGEREF _Toc367700245 \h </w:instrText>
            </w:r>
            <w:r w:rsidR="00CA7023">
              <w:rPr>
                <w:webHidden/>
              </w:rPr>
            </w:r>
            <w:r w:rsidR="00CA7023">
              <w:rPr>
                <w:webHidden/>
              </w:rPr>
              <w:fldChar w:fldCharType="separate"/>
            </w:r>
            <w:r w:rsidR="00FF5EB2">
              <w:rPr>
                <w:webHidden/>
              </w:rPr>
              <w:t>37</w:t>
            </w:r>
            <w:r w:rsidR="00CA7023">
              <w:rPr>
                <w:webHidden/>
              </w:rPr>
              <w:fldChar w:fldCharType="end"/>
            </w:r>
          </w:hyperlink>
        </w:p>
        <w:p w:rsidR="00542217" w:rsidRDefault="001474D4">
          <w:pPr>
            <w:pStyle w:val="TOC3"/>
            <w:rPr>
              <w:rFonts w:asciiTheme="minorHAnsi" w:eastAsiaTheme="minorEastAsia" w:hAnsiTheme="minorHAnsi" w:cstheme="minorBidi"/>
              <w:sz w:val="22"/>
              <w:szCs w:val="22"/>
              <w:lang w:val="en-AU" w:eastAsia="en-AU"/>
            </w:rPr>
          </w:pPr>
          <w:hyperlink w:anchor="_Toc367700246" w:history="1">
            <w:r w:rsidR="00542217" w:rsidRPr="00717126">
              <w:rPr>
                <w:rStyle w:val="Hyperlink"/>
              </w:rPr>
              <w:t>5.6.1</w:t>
            </w:r>
            <w:r w:rsidR="00542217">
              <w:rPr>
                <w:rFonts w:asciiTheme="minorHAnsi" w:eastAsiaTheme="minorEastAsia" w:hAnsiTheme="minorHAnsi" w:cstheme="minorBidi"/>
                <w:sz w:val="22"/>
                <w:szCs w:val="22"/>
                <w:lang w:val="en-AU" w:eastAsia="en-AU"/>
              </w:rPr>
              <w:tab/>
            </w:r>
            <w:r w:rsidR="00542217" w:rsidRPr="00717126">
              <w:rPr>
                <w:rStyle w:val="Hyperlink"/>
              </w:rPr>
              <w:t>Port of Melbourne</w:t>
            </w:r>
            <w:r w:rsidR="00542217">
              <w:rPr>
                <w:webHidden/>
              </w:rPr>
              <w:tab/>
            </w:r>
            <w:r w:rsidR="00CA7023">
              <w:rPr>
                <w:webHidden/>
              </w:rPr>
              <w:fldChar w:fldCharType="begin"/>
            </w:r>
            <w:r w:rsidR="00542217">
              <w:rPr>
                <w:webHidden/>
              </w:rPr>
              <w:instrText xml:space="preserve"> PAGEREF _Toc367700246 \h </w:instrText>
            </w:r>
            <w:r w:rsidR="00CA7023">
              <w:rPr>
                <w:webHidden/>
              </w:rPr>
            </w:r>
            <w:r w:rsidR="00CA7023">
              <w:rPr>
                <w:webHidden/>
              </w:rPr>
              <w:fldChar w:fldCharType="separate"/>
            </w:r>
            <w:r w:rsidR="00FF5EB2">
              <w:rPr>
                <w:webHidden/>
              </w:rPr>
              <w:t>37</w:t>
            </w:r>
            <w:r w:rsidR="00CA7023">
              <w:rPr>
                <w:webHidden/>
              </w:rPr>
              <w:fldChar w:fldCharType="end"/>
            </w:r>
          </w:hyperlink>
        </w:p>
        <w:p w:rsidR="00542217" w:rsidRDefault="001474D4">
          <w:pPr>
            <w:pStyle w:val="TOC3"/>
            <w:rPr>
              <w:rFonts w:asciiTheme="minorHAnsi" w:eastAsiaTheme="minorEastAsia" w:hAnsiTheme="minorHAnsi" w:cstheme="minorBidi"/>
              <w:sz w:val="22"/>
              <w:szCs w:val="22"/>
              <w:lang w:val="en-AU" w:eastAsia="en-AU"/>
            </w:rPr>
          </w:pPr>
          <w:hyperlink w:anchor="_Toc367700247" w:history="1">
            <w:r w:rsidR="00542217" w:rsidRPr="00717126">
              <w:rPr>
                <w:rStyle w:val="Hyperlink"/>
              </w:rPr>
              <w:t>5.6.2</w:t>
            </w:r>
            <w:r w:rsidR="00542217">
              <w:rPr>
                <w:rFonts w:asciiTheme="minorHAnsi" w:eastAsiaTheme="minorEastAsia" w:hAnsiTheme="minorHAnsi" w:cstheme="minorBidi"/>
                <w:sz w:val="22"/>
                <w:szCs w:val="22"/>
                <w:lang w:val="en-AU" w:eastAsia="en-AU"/>
              </w:rPr>
              <w:tab/>
            </w:r>
            <w:r w:rsidR="00542217" w:rsidRPr="00717126">
              <w:rPr>
                <w:rStyle w:val="Hyperlink"/>
              </w:rPr>
              <w:t>Port of Burnie</w:t>
            </w:r>
            <w:r w:rsidR="00542217">
              <w:rPr>
                <w:webHidden/>
              </w:rPr>
              <w:tab/>
            </w:r>
            <w:r w:rsidR="00CA7023">
              <w:rPr>
                <w:webHidden/>
              </w:rPr>
              <w:fldChar w:fldCharType="begin"/>
            </w:r>
            <w:r w:rsidR="00542217">
              <w:rPr>
                <w:webHidden/>
              </w:rPr>
              <w:instrText xml:space="preserve"> PAGEREF _Toc367700247 \h </w:instrText>
            </w:r>
            <w:r w:rsidR="00CA7023">
              <w:rPr>
                <w:webHidden/>
              </w:rPr>
            </w:r>
            <w:r w:rsidR="00CA7023">
              <w:rPr>
                <w:webHidden/>
              </w:rPr>
              <w:fldChar w:fldCharType="separate"/>
            </w:r>
            <w:r w:rsidR="00FF5EB2">
              <w:rPr>
                <w:webHidden/>
              </w:rPr>
              <w:t>38</w:t>
            </w:r>
            <w:r w:rsidR="00CA7023">
              <w:rPr>
                <w:webHidden/>
              </w:rPr>
              <w:fldChar w:fldCharType="end"/>
            </w:r>
          </w:hyperlink>
        </w:p>
        <w:p w:rsidR="00542217" w:rsidRDefault="001474D4">
          <w:pPr>
            <w:pStyle w:val="TOC3"/>
            <w:rPr>
              <w:rFonts w:asciiTheme="minorHAnsi" w:eastAsiaTheme="minorEastAsia" w:hAnsiTheme="minorHAnsi" w:cstheme="minorBidi"/>
              <w:sz w:val="22"/>
              <w:szCs w:val="22"/>
              <w:lang w:val="en-AU" w:eastAsia="en-AU"/>
            </w:rPr>
          </w:pPr>
          <w:hyperlink w:anchor="_Toc367700248" w:history="1">
            <w:r w:rsidR="00542217" w:rsidRPr="00717126">
              <w:rPr>
                <w:rStyle w:val="Hyperlink"/>
              </w:rPr>
              <w:t>5.6.3</w:t>
            </w:r>
            <w:r w:rsidR="00542217">
              <w:rPr>
                <w:rFonts w:asciiTheme="minorHAnsi" w:eastAsiaTheme="minorEastAsia" w:hAnsiTheme="minorHAnsi" w:cstheme="minorBidi"/>
                <w:sz w:val="22"/>
                <w:szCs w:val="22"/>
                <w:lang w:val="en-AU" w:eastAsia="en-AU"/>
              </w:rPr>
              <w:tab/>
            </w:r>
            <w:r w:rsidR="00542217" w:rsidRPr="00717126">
              <w:rPr>
                <w:rStyle w:val="Hyperlink"/>
              </w:rPr>
              <w:t>Port of Devonport</w:t>
            </w:r>
            <w:r w:rsidR="00542217">
              <w:rPr>
                <w:webHidden/>
              </w:rPr>
              <w:tab/>
            </w:r>
            <w:r w:rsidR="00CA7023">
              <w:rPr>
                <w:webHidden/>
              </w:rPr>
              <w:fldChar w:fldCharType="begin"/>
            </w:r>
            <w:r w:rsidR="00542217">
              <w:rPr>
                <w:webHidden/>
              </w:rPr>
              <w:instrText xml:space="preserve"> PAGEREF _Toc367700248 \h </w:instrText>
            </w:r>
            <w:r w:rsidR="00CA7023">
              <w:rPr>
                <w:webHidden/>
              </w:rPr>
            </w:r>
            <w:r w:rsidR="00CA7023">
              <w:rPr>
                <w:webHidden/>
              </w:rPr>
              <w:fldChar w:fldCharType="separate"/>
            </w:r>
            <w:r w:rsidR="00FF5EB2">
              <w:rPr>
                <w:webHidden/>
              </w:rPr>
              <w:t>40</w:t>
            </w:r>
            <w:r w:rsidR="00CA7023">
              <w:rPr>
                <w:webHidden/>
              </w:rPr>
              <w:fldChar w:fldCharType="end"/>
            </w:r>
          </w:hyperlink>
        </w:p>
        <w:p w:rsidR="00542217" w:rsidRDefault="001474D4">
          <w:pPr>
            <w:pStyle w:val="TOC3"/>
            <w:rPr>
              <w:rFonts w:asciiTheme="minorHAnsi" w:eastAsiaTheme="minorEastAsia" w:hAnsiTheme="minorHAnsi" w:cstheme="minorBidi"/>
              <w:sz w:val="22"/>
              <w:szCs w:val="22"/>
              <w:lang w:val="en-AU" w:eastAsia="en-AU"/>
            </w:rPr>
          </w:pPr>
          <w:hyperlink w:anchor="_Toc367700249" w:history="1">
            <w:r w:rsidR="00542217" w:rsidRPr="00717126">
              <w:rPr>
                <w:rStyle w:val="Hyperlink"/>
              </w:rPr>
              <w:t>5.6.4</w:t>
            </w:r>
            <w:r w:rsidR="00542217">
              <w:rPr>
                <w:rFonts w:asciiTheme="minorHAnsi" w:eastAsiaTheme="minorEastAsia" w:hAnsiTheme="minorHAnsi" w:cstheme="minorBidi"/>
                <w:sz w:val="22"/>
                <w:szCs w:val="22"/>
                <w:lang w:val="en-AU" w:eastAsia="en-AU"/>
              </w:rPr>
              <w:tab/>
            </w:r>
            <w:r w:rsidR="00542217" w:rsidRPr="00717126">
              <w:rPr>
                <w:rStyle w:val="Hyperlink"/>
              </w:rPr>
              <w:t>Port of Bell Bay</w:t>
            </w:r>
            <w:r w:rsidR="00542217">
              <w:rPr>
                <w:webHidden/>
              </w:rPr>
              <w:tab/>
            </w:r>
            <w:r w:rsidR="00CA7023">
              <w:rPr>
                <w:webHidden/>
              </w:rPr>
              <w:fldChar w:fldCharType="begin"/>
            </w:r>
            <w:r w:rsidR="00542217">
              <w:rPr>
                <w:webHidden/>
              </w:rPr>
              <w:instrText xml:space="preserve"> PAGEREF _Toc367700249 \h </w:instrText>
            </w:r>
            <w:r w:rsidR="00CA7023">
              <w:rPr>
                <w:webHidden/>
              </w:rPr>
            </w:r>
            <w:r w:rsidR="00CA7023">
              <w:rPr>
                <w:webHidden/>
              </w:rPr>
              <w:fldChar w:fldCharType="separate"/>
            </w:r>
            <w:r w:rsidR="00FF5EB2">
              <w:rPr>
                <w:webHidden/>
              </w:rPr>
              <w:t>43</w:t>
            </w:r>
            <w:r w:rsidR="00CA7023">
              <w:rPr>
                <w:webHidden/>
              </w:rPr>
              <w:fldChar w:fldCharType="end"/>
            </w:r>
          </w:hyperlink>
        </w:p>
        <w:p w:rsidR="00542217" w:rsidRDefault="001474D4">
          <w:pPr>
            <w:pStyle w:val="TOC1"/>
            <w:rPr>
              <w:rFonts w:asciiTheme="minorHAnsi" w:eastAsiaTheme="minorEastAsia" w:hAnsiTheme="minorHAnsi" w:cstheme="minorBidi"/>
              <w:b w:val="0"/>
              <w:color w:val="auto"/>
              <w:sz w:val="22"/>
              <w:szCs w:val="22"/>
              <w:lang w:val="en-AU" w:eastAsia="en-AU"/>
            </w:rPr>
          </w:pPr>
          <w:hyperlink w:anchor="_Toc367700250" w:history="1">
            <w:r w:rsidR="00542217" w:rsidRPr="00717126">
              <w:rPr>
                <w:rStyle w:val="Hyperlink"/>
              </w:rPr>
              <w:t>6</w:t>
            </w:r>
            <w:r w:rsidR="00542217">
              <w:rPr>
                <w:rFonts w:asciiTheme="minorHAnsi" w:eastAsiaTheme="minorEastAsia" w:hAnsiTheme="minorHAnsi" w:cstheme="minorBidi"/>
                <w:b w:val="0"/>
                <w:color w:val="auto"/>
                <w:sz w:val="22"/>
                <w:szCs w:val="22"/>
                <w:lang w:val="en-AU" w:eastAsia="en-AU"/>
              </w:rPr>
              <w:tab/>
            </w:r>
            <w:r w:rsidR="00542217" w:rsidRPr="00717126">
              <w:rPr>
                <w:rStyle w:val="Hyperlink"/>
              </w:rPr>
              <w:t>Findings</w:t>
            </w:r>
            <w:r w:rsidR="00542217">
              <w:rPr>
                <w:webHidden/>
              </w:rPr>
              <w:tab/>
            </w:r>
            <w:r w:rsidR="00CA7023">
              <w:rPr>
                <w:webHidden/>
              </w:rPr>
              <w:fldChar w:fldCharType="begin"/>
            </w:r>
            <w:r w:rsidR="00542217">
              <w:rPr>
                <w:webHidden/>
              </w:rPr>
              <w:instrText xml:space="preserve"> PAGEREF _Toc367700250 \h </w:instrText>
            </w:r>
            <w:r w:rsidR="00CA7023">
              <w:rPr>
                <w:webHidden/>
              </w:rPr>
            </w:r>
            <w:r w:rsidR="00CA7023">
              <w:rPr>
                <w:webHidden/>
              </w:rPr>
              <w:fldChar w:fldCharType="separate"/>
            </w:r>
            <w:r w:rsidR="00FF5EB2">
              <w:rPr>
                <w:webHidden/>
              </w:rPr>
              <w:t>47</w:t>
            </w:r>
            <w:r w:rsidR="00CA7023">
              <w:rPr>
                <w:webHidden/>
              </w:rPr>
              <w:fldChar w:fldCharType="end"/>
            </w:r>
          </w:hyperlink>
        </w:p>
        <w:p w:rsidR="00542217" w:rsidRDefault="001474D4">
          <w:pPr>
            <w:pStyle w:val="TOC1"/>
            <w:rPr>
              <w:rFonts w:asciiTheme="minorHAnsi" w:eastAsiaTheme="minorEastAsia" w:hAnsiTheme="minorHAnsi" w:cstheme="minorBidi"/>
              <w:b w:val="0"/>
              <w:color w:val="auto"/>
              <w:sz w:val="22"/>
              <w:szCs w:val="22"/>
              <w:lang w:val="en-AU" w:eastAsia="en-AU"/>
            </w:rPr>
          </w:pPr>
          <w:hyperlink w:anchor="_Toc367700251" w:history="1">
            <w:r w:rsidR="00542217" w:rsidRPr="00717126">
              <w:rPr>
                <w:rStyle w:val="Hyperlink"/>
              </w:rPr>
              <w:t>7</w:t>
            </w:r>
            <w:r w:rsidR="00542217">
              <w:rPr>
                <w:rFonts w:asciiTheme="minorHAnsi" w:eastAsiaTheme="minorEastAsia" w:hAnsiTheme="minorHAnsi" w:cstheme="minorBidi"/>
                <w:b w:val="0"/>
                <w:color w:val="auto"/>
                <w:sz w:val="22"/>
                <w:szCs w:val="22"/>
                <w:lang w:val="en-AU" w:eastAsia="en-AU"/>
              </w:rPr>
              <w:tab/>
            </w:r>
            <w:r w:rsidR="00542217" w:rsidRPr="00717126">
              <w:rPr>
                <w:rStyle w:val="Hyperlink"/>
                <w:lang w:val="en-AU"/>
              </w:rPr>
              <w:t>Appendices</w:t>
            </w:r>
            <w:r w:rsidR="00542217">
              <w:rPr>
                <w:webHidden/>
              </w:rPr>
              <w:tab/>
            </w:r>
            <w:r w:rsidR="00CA7023">
              <w:rPr>
                <w:webHidden/>
              </w:rPr>
              <w:fldChar w:fldCharType="begin"/>
            </w:r>
            <w:r w:rsidR="00542217">
              <w:rPr>
                <w:webHidden/>
              </w:rPr>
              <w:instrText xml:space="preserve"> PAGEREF _Toc367700251 \h </w:instrText>
            </w:r>
            <w:r w:rsidR="00CA7023">
              <w:rPr>
                <w:webHidden/>
              </w:rPr>
            </w:r>
            <w:r w:rsidR="00CA7023">
              <w:rPr>
                <w:webHidden/>
              </w:rPr>
              <w:fldChar w:fldCharType="separate"/>
            </w:r>
            <w:r w:rsidR="00FF5EB2">
              <w:rPr>
                <w:webHidden/>
              </w:rPr>
              <w:t>48</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52" w:history="1">
            <w:r w:rsidR="00542217" w:rsidRPr="00717126">
              <w:rPr>
                <w:rStyle w:val="Hyperlink"/>
              </w:rPr>
              <w:t>7.1</w:t>
            </w:r>
            <w:r w:rsidR="00542217">
              <w:rPr>
                <w:rFonts w:asciiTheme="minorHAnsi" w:eastAsiaTheme="minorEastAsia" w:hAnsiTheme="minorHAnsi" w:cstheme="minorBidi"/>
                <w:sz w:val="22"/>
                <w:szCs w:val="22"/>
                <w:lang w:val="en-AU" w:eastAsia="en-AU"/>
              </w:rPr>
              <w:tab/>
            </w:r>
            <w:r w:rsidR="00542217" w:rsidRPr="00717126">
              <w:rPr>
                <w:rStyle w:val="Hyperlink"/>
                <w:lang w:val="en-AU"/>
              </w:rPr>
              <w:t>List of Tables and Figures</w:t>
            </w:r>
            <w:r w:rsidR="00542217">
              <w:rPr>
                <w:webHidden/>
              </w:rPr>
              <w:tab/>
            </w:r>
            <w:r w:rsidR="00CA7023">
              <w:rPr>
                <w:webHidden/>
              </w:rPr>
              <w:fldChar w:fldCharType="begin"/>
            </w:r>
            <w:r w:rsidR="00542217">
              <w:rPr>
                <w:webHidden/>
              </w:rPr>
              <w:instrText xml:space="preserve"> PAGEREF _Toc367700252 \h </w:instrText>
            </w:r>
            <w:r w:rsidR="00CA7023">
              <w:rPr>
                <w:webHidden/>
              </w:rPr>
            </w:r>
            <w:r w:rsidR="00CA7023">
              <w:rPr>
                <w:webHidden/>
              </w:rPr>
              <w:fldChar w:fldCharType="separate"/>
            </w:r>
            <w:r w:rsidR="00FF5EB2">
              <w:rPr>
                <w:webHidden/>
              </w:rPr>
              <w:t>49</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53" w:history="1">
            <w:r w:rsidR="00542217" w:rsidRPr="00717126">
              <w:rPr>
                <w:rStyle w:val="Hyperlink"/>
              </w:rPr>
              <w:t>7.2</w:t>
            </w:r>
            <w:r w:rsidR="00542217">
              <w:rPr>
                <w:rFonts w:asciiTheme="minorHAnsi" w:eastAsiaTheme="minorEastAsia" w:hAnsiTheme="minorHAnsi" w:cstheme="minorBidi"/>
                <w:sz w:val="22"/>
                <w:szCs w:val="22"/>
                <w:lang w:val="en-AU" w:eastAsia="en-AU"/>
              </w:rPr>
              <w:tab/>
            </w:r>
            <w:r w:rsidR="00542217" w:rsidRPr="00717126">
              <w:rPr>
                <w:rStyle w:val="Hyperlink"/>
              </w:rPr>
              <w:t>Commodity Classifications</w:t>
            </w:r>
            <w:r w:rsidR="00542217">
              <w:rPr>
                <w:webHidden/>
              </w:rPr>
              <w:tab/>
            </w:r>
            <w:r w:rsidR="00CA7023">
              <w:rPr>
                <w:webHidden/>
              </w:rPr>
              <w:fldChar w:fldCharType="begin"/>
            </w:r>
            <w:r w:rsidR="00542217">
              <w:rPr>
                <w:webHidden/>
              </w:rPr>
              <w:instrText xml:space="preserve"> PAGEREF _Toc367700253 \h </w:instrText>
            </w:r>
            <w:r w:rsidR="00CA7023">
              <w:rPr>
                <w:webHidden/>
              </w:rPr>
            </w:r>
            <w:r w:rsidR="00CA7023">
              <w:rPr>
                <w:webHidden/>
              </w:rPr>
              <w:fldChar w:fldCharType="separate"/>
            </w:r>
            <w:r w:rsidR="00FF5EB2">
              <w:rPr>
                <w:webHidden/>
              </w:rPr>
              <w:t>51</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54" w:history="1">
            <w:r w:rsidR="00542217" w:rsidRPr="00717126">
              <w:rPr>
                <w:rStyle w:val="Hyperlink"/>
              </w:rPr>
              <w:t>7.3</w:t>
            </w:r>
            <w:r w:rsidR="00542217">
              <w:rPr>
                <w:rFonts w:asciiTheme="minorHAnsi" w:eastAsiaTheme="minorEastAsia" w:hAnsiTheme="minorHAnsi" w:cstheme="minorBidi"/>
                <w:sz w:val="22"/>
                <w:szCs w:val="22"/>
                <w:lang w:val="en-AU" w:eastAsia="en-AU"/>
              </w:rPr>
              <w:tab/>
            </w:r>
            <w:r w:rsidR="00542217" w:rsidRPr="00717126">
              <w:rPr>
                <w:rStyle w:val="Hyperlink"/>
              </w:rPr>
              <w:t>References</w:t>
            </w:r>
            <w:r w:rsidR="00542217">
              <w:rPr>
                <w:webHidden/>
              </w:rPr>
              <w:tab/>
            </w:r>
            <w:r w:rsidR="00CA7023">
              <w:rPr>
                <w:webHidden/>
              </w:rPr>
              <w:fldChar w:fldCharType="begin"/>
            </w:r>
            <w:r w:rsidR="00542217">
              <w:rPr>
                <w:webHidden/>
              </w:rPr>
              <w:instrText xml:space="preserve"> PAGEREF _Toc367700254 \h </w:instrText>
            </w:r>
            <w:r w:rsidR="00CA7023">
              <w:rPr>
                <w:webHidden/>
              </w:rPr>
            </w:r>
            <w:r w:rsidR="00CA7023">
              <w:rPr>
                <w:webHidden/>
              </w:rPr>
              <w:fldChar w:fldCharType="separate"/>
            </w:r>
            <w:r w:rsidR="00FF5EB2">
              <w:rPr>
                <w:webHidden/>
              </w:rPr>
              <w:t>53</w:t>
            </w:r>
            <w:r w:rsidR="00CA7023">
              <w:rPr>
                <w:webHidden/>
              </w:rPr>
              <w:fldChar w:fldCharType="end"/>
            </w:r>
          </w:hyperlink>
        </w:p>
        <w:p w:rsidR="00542217" w:rsidRDefault="001474D4">
          <w:pPr>
            <w:pStyle w:val="TOC2"/>
            <w:rPr>
              <w:rFonts w:asciiTheme="minorHAnsi" w:eastAsiaTheme="minorEastAsia" w:hAnsiTheme="minorHAnsi" w:cstheme="minorBidi"/>
              <w:sz w:val="22"/>
              <w:szCs w:val="22"/>
              <w:lang w:val="en-AU" w:eastAsia="en-AU"/>
            </w:rPr>
          </w:pPr>
          <w:hyperlink w:anchor="_Toc367700255" w:history="1">
            <w:r w:rsidR="00542217" w:rsidRPr="00717126">
              <w:rPr>
                <w:rStyle w:val="Hyperlink"/>
              </w:rPr>
              <w:t>7.4</w:t>
            </w:r>
            <w:r w:rsidR="00542217">
              <w:rPr>
                <w:rFonts w:asciiTheme="minorHAnsi" w:eastAsiaTheme="minorEastAsia" w:hAnsiTheme="minorHAnsi" w:cstheme="minorBidi"/>
                <w:sz w:val="22"/>
                <w:szCs w:val="22"/>
                <w:lang w:val="en-AU" w:eastAsia="en-AU"/>
              </w:rPr>
              <w:tab/>
            </w:r>
            <w:r w:rsidR="00542217" w:rsidRPr="00717126">
              <w:rPr>
                <w:rStyle w:val="Hyperlink"/>
              </w:rPr>
              <w:t>Companies Contacted</w:t>
            </w:r>
            <w:r w:rsidR="00542217">
              <w:rPr>
                <w:webHidden/>
              </w:rPr>
              <w:tab/>
            </w:r>
            <w:r w:rsidR="00CA7023">
              <w:rPr>
                <w:webHidden/>
              </w:rPr>
              <w:fldChar w:fldCharType="begin"/>
            </w:r>
            <w:r w:rsidR="00542217">
              <w:rPr>
                <w:webHidden/>
              </w:rPr>
              <w:instrText xml:space="preserve"> PAGEREF _Toc367700255 \h </w:instrText>
            </w:r>
            <w:r w:rsidR="00CA7023">
              <w:rPr>
                <w:webHidden/>
              </w:rPr>
            </w:r>
            <w:r w:rsidR="00CA7023">
              <w:rPr>
                <w:webHidden/>
              </w:rPr>
              <w:fldChar w:fldCharType="separate"/>
            </w:r>
            <w:r w:rsidR="00FF5EB2">
              <w:rPr>
                <w:webHidden/>
              </w:rPr>
              <w:t>55</w:t>
            </w:r>
            <w:r w:rsidR="00CA7023">
              <w:rPr>
                <w:webHidden/>
              </w:rPr>
              <w:fldChar w:fldCharType="end"/>
            </w:r>
          </w:hyperlink>
        </w:p>
        <w:p w:rsidR="00DD19D6" w:rsidRPr="00DD19D6" w:rsidRDefault="00CA7023" w:rsidP="00DD19D6">
          <w:r>
            <w:rPr>
              <w:rStyle w:val="Hyperlink"/>
              <w:b/>
            </w:rPr>
            <w:fldChar w:fldCharType="end"/>
          </w:r>
        </w:p>
      </w:sdtContent>
    </w:sdt>
    <w:p w:rsidR="00582887" w:rsidRDefault="00582887" w:rsidP="009A1986">
      <w:pPr>
        <w:pStyle w:val="Heading1"/>
        <w:sectPr w:rsidR="00582887" w:rsidSect="006B790E">
          <w:pgSz w:w="11907" w:h="16839" w:code="9"/>
          <w:pgMar w:top="1985" w:right="1418" w:bottom="1134" w:left="1418" w:header="567" w:footer="543" w:gutter="0"/>
          <w:cols w:space="720"/>
          <w:docGrid w:linePitch="360"/>
        </w:sectPr>
      </w:pPr>
      <w:bookmarkStart w:id="5" w:name="_Toc358361210"/>
    </w:p>
    <w:p w:rsidR="007B688B" w:rsidRPr="0074367A" w:rsidRDefault="00382856" w:rsidP="009A1986">
      <w:pPr>
        <w:pStyle w:val="Heading1"/>
      </w:pPr>
      <w:bookmarkStart w:id="6" w:name="_Toc358361211"/>
      <w:bookmarkStart w:id="7" w:name="_Toc367700211"/>
      <w:bookmarkEnd w:id="5"/>
      <w:r w:rsidRPr="0074367A">
        <w:lastRenderedPageBreak/>
        <w:t>Executive Summary</w:t>
      </w:r>
      <w:bookmarkEnd w:id="6"/>
      <w:bookmarkEnd w:id="7"/>
    </w:p>
    <w:p w:rsidR="00135DD2" w:rsidRPr="00E86016" w:rsidRDefault="00135DD2" w:rsidP="00135DD2">
      <w:pPr>
        <w:pStyle w:val="Heading2"/>
        <w:numPr>
          <w:ilvl w:val="1"/>
          <w:numId w:val="12"/>
        </w:numPr>
      </w:pPr>
      <w:bookmarkStart w:id="8" w:name="_Toc366257545"/>
      <w:bookmarkStart w:id="9" w:name="_Toc367700212"/>
      <w:bookmarkEnd w:id="4"/>
      <w:r w:rsidRPr="00E86016">
        <w:t>Background</w:t>
      </w:r>
      <w:bookmarkEnd w:id="8"/>
      <w:bookmarkEnd w:id="9"/>
    </w:p>
    <w:p w:rsidR="00135DD2" w:rsidRDefault="00135DD2" w:rsidP="00135DD2">
      <w:r w:rsidRPr="00EF58D2">
        <w:t>The Freight Logistics Coordination Team (FLCT) was established as part of a one-off $20 million Australian Government funding packag</w:t>
      </w:r>
      <w:r>
        <w:t>e to assist Tasmanian exporters</w:t>
      </w:r>
      <w:r w:rsidRPr="00EF58D2">
        <w:t xml:space="preserve"> following </w:t>
      </w:r>
      <w:r>
        <w:t xml:space="preserve">the </w:t>
      </w:r>
      <w:r w:rsidRPr="00EF58D2">
        <w:t>cessation of international container shipping services to Tasma</w:t>
      </w:r>
      <w:r>
        <w:t>nia</w:t>
      </w:r>
      <w:r w:rsidRPr="00EF58D2">
        <w:t xml:space="preserve"> in 2011. </w:t>
      </w:r>
    </w:p>
    <w:p w:rsidR="00135DD2" w:rsidRPr="000F5CBA" w:rsidRDefault="00135DD2" w:rsidP="00135DD2">
      <w:r w:rsidRPr="00EF58D2">
        <w:t>The FLCT is an i</w:t>
      </w:r>
      <w:r>
        <w:t>ndependent expert advisory body</w:t>
      </w:r>
      <w:r w:rsidRPr="00EF58D2">
        <w:t xml:space="preserve"> </w:t>
      </w:r>
      <w:r>
        <w:t>comprising</w:t>
      </w:r>
      <w:r w:rsidRPr="00EF58D2">
        <w:t xml:space="preserve"> 19 senior representatives from major shippers and producers, infrastructure providers, freight logistics companies and peak industry bodies.</w:t>
      </w:r>
      <w:r>
        <w:t xml:space="preserve"> The FLCT </w:t>
      </w:r>
      <w:r w:rsidRPr="00EF58D2">
        <w:t xml:space="preserve">has a clear focus on outcomes that deliver improved freight efficiency for Tasmanian businesses, and support business growth. </w:t>
      </w:r>
    </w:p>
    <w:p w:rsidR="00135DD2" w:rsidRPr="00275B16" w:rsidRDefault="00135DD2" w:rsidP="00135DD2">
      <w:pPr>
        <w:rPr>
          <w:rFonts w:eastAsia="Calibri"/>
          <w:sz w:val="22"/>
          <w:szCs w:val="22"/>
          <w:lang w:val="en-US"/>
        </w:rPr>
      </w:pPr>
      <w:r>
        <w:t xml:space="preserve">As part of the FLCT’s work, Aurecon was </w:t>
      </w:r>
      <w:r w:rsidRPr="00EF58D2">
        <w:t>engaged to undertake a major study on supply chain quality, cost and benchmarking</w:t>
      </w:r>
      <w:r w:rsidRPr="00EF58D2">
        <w:rPr>
          <w:bCs/>
        </w:rPr>
        <w:t xml:space="preserve">. The objectives of this </w:t>
      </w:r>
      <w:r>
        <w:rPr>
          <w:bCs/>
        </w:rPr>
        <w:t>study are to undertake a detailed analysis of</w:t>
      </w:r>
      <w:r w:rsidRPr="00EF58D2">
        <w:rPr>
          <w:lang w:val="en-US"/>
        </w:rPr>
        <w:t>:</w:t>
      </w:r>
    </w:p>
    <w:p w:rsidR="00135DD2" w:rsidRPr="002D5345" w:rsidRDefault="00135DD2" w:rsidP="00135DD2">
      <w:pPr>
        <w:pStyle w:val="Bullet1"/>
      </w:pPr>
      <w:r w:rsidRPr="002D5345">
        <w:t>transport and logistics supply chains across key commodity groups and benchmark them</w:t>
      </w:r>
      <w:r w:rsidR="003925FA">
        <w:t xml:space="preserve"> in terms of quality and cost; and</w:t>
      </w:r>
    </w:p>
    <w:p w:rsidR="00135DD2" w:rsidRPr="002D5345" w:rsidRDefault="00135DD2" w:rsidP="00135DD2">
      <w:pPr>
        <w:pStyle w:val="Bullet1"/>
      </w:pPr>
      <w:r w:rsidRPr="002D5345">
        <w:t>the cost of shipping as a modal component of the supply chain</w:t>
      </w:r>
      <w:r>
        <w:t>.</w:t>
      </w:r>
    </w:p>
    <w:p w:rsidR="00135DD2" w:rsidRDefault="00135DD2" w:rsidP="00135DD2">
      <w:r>
        <w:t xml:space="preserve">Consistent with these objectives, the outcomes of the study are presented in two reports: </w:t>
      </w:r>
    </w:p>
    <w:p w:rsidR="00135DD2" w:rsidRPr="00EF58D2" w:rsidRDefault="00135DD2" w:rsidP="00135DD2">
      <w:pPr>
        <w:pStyle w:val="ListParagraph"/>
        <w:numPr>
          <w:ilvl w:val="0"/>
          <w:numId w:val="24"/>
        </w:numPr>
        <w:spacing w:after="120"/>
        <w:rPr>
          <w:rFonts w:eastAsia="Arial"/>
        </w:rPr>
      </w:pPr>
      <w:r w:rsidRPr="00EF58D2">
        <w:rPr>
          <w:rFonts w:eastAsia="Arial"/>
          <w:i/>
        </w:rPr>
        <w:t>Tasmanian Supply Chains</w:t>
      </w:r>
    </w:p>
    <w:p w:rsidR="00135DD2" w:rsidRPr="00EF58D2" w:rsidRDefault="00135DD2" w:rsidP="00135DD2">
      <w:r>
        <w:t xml:space="preserve">In this report </w:t>
      </w:r>
      <w:r w:rsidRPr="00EF58D2">
        <w:t xml:space="preserve">Aurecon examined the supply chains of all major </w:t>
      </w:r>
      <w:r>
        <w:t xml:space="preserve">non-bulk </w:t>
      </w:r>
      <w:r w:rsidRPr="00EF58D2">
        <w:t xml:space="preserve">commodities produced within Tasmania, and provided quantitative information and expert qualitative observations on the costs, quality and efficiency of supply chains at </w:t>
      </w:r>
      <w:r>
        <w:t xml:space="preserve">both </w:t>
      </w:r>
      <w:r w:rsidRPr="00EF58D2">
        <w:t xml:space="preserve">an individual and aggregated level. </w:t>
      </w:r>
      <w:r>
        <w:t>The study has involved d</w:t>
      </w:r>
      <w:r w:rsidRPr="00EF58D2">
        <w:t>etailed interviews with a wide range of freight users and stakeholders, supported by site visits, analysis of freight and cost data</w:t>
      </w:r>
      <w:r>
        <w:t xml:space="preserve"> and our own industry knowledge</w:t>
      </w:r>
      <w:r w:rsidRPr="00EF58D2">
        <w:t xml:space="preserve">.   </w:t>
      </w:r>
    </w:p>
    <w:p w:rsidR="00135DD2" w:rsidRDefault="00135DD2" w:rsidP="00135DD2">
      <w:pPr>
        <w:pStyle w:val="ListParagraph"/>
        <w:numPr>
          <w:ilvl w:val="0"/>
          <w:numId w:val="24"/>
        </w:numPr>
        <w:spacing w:after="120"/>
        <w:rPr>
          <w:rFonts w:eastAsia="Arial"/>
        </w:rPr>
      </w:pPr>
      <w:r w:rsidRPr="00EF58D2">
        <w:rPr>
          <w:rFonts w:eastAsia="Arial"/>
          <w:i/>
        </w:rPr>
        <w:t xml:space="preserve">Tasmanian </w:t>
      </w:r>
      <w:r>
        <w:rPr>
          <w:rFonts w:eastAsia="Arial"/>
          <w:i/>
        </w:rPr>
        <w:t>Shipping and Ports</w:t>
      </w:r>
    </w:p>
    <w:p w:rsidR="00135DD2" w:rsidRPr="00DE1F44" w:rsidRDefault="00135DD2" w:rsidP="00135DD2">
      <w:r>
        <w:rPr>
          <w:rFonts w:eastAsia="Arial"/>
        </w:rPr>
        <w:t xml:space="preserve">In this report Aurecon examined the cost, capacity and the relative </w:t>
      </w:r>
      <w:r>
        <w:t xml:space="preserve">efficiencies of Bass Strait shipping services and Tasmania’s three northern ports.  It also investigated the underlying cost considerations to vessel owners which form the basis of freight rates and considers the potential for the resumption of direct call international shipping services to Tasmania’s north coast.  </w:t>
      </w:r>
    </w:p>
    <w:p w:rsidR="00135DD2" w:rsidRDefault="00135DD2" w:rsidP="00135DD2">
      <w:pPr>
        <w:pStyle w:val="Heading2"/>
        <w:numPr>
          <w:ilvl w:val="1"/>
          <w:numId w:val="12"/>
        </w:numPr>
      </w:pPr>
      <w:bookmarkStart w:id="10" w:name="_Toc367700213"/>
      <w:r>
        <w:t>The Nature of Tasmania’s Shipping and Ports</w:t>
      </w:r>
      <w:bookmarkEnd w:id="10"/>
    </w:p>
    <w:p w:rsidR="001D1810" w:rsidRDefault="001D1810" w:rsidP="0074367A">
      <w:r>
        <w:t>Tasmania relies on moving freight in and out of the state by sea through its sea ports. Sea freight constitutes 99% of all freight movements to and from the island by volume.  Tasmania’s three northern ports carry the majority of freight, with Burnie the highest volume port for container freight.  Shipping freight services across</w:t>
      </w:r>
      <w:r w:rsidRPr="00F0686C">
        <w:t xml:space="preserve"> Bass Strait</w:t>
      </w:r>
      <w:r>
        <w:t xml:space="preserve"> service both the domestic and international markets as feeder services via transhipment through the Port of Melbourne.  A key feature of the service offered by all </w:t>
      </w:r>
      <w:r>
        <w:lastRenderedPageBreak/>
        <w:t>Bass Strait shipping operators is the provision of an overnight outbound service which integrates with road transport allowing day time deliveries to mainland destinations.  Many businesses have designed their supply chains around this aspect of the shipping services.</w:t>
      </w:r>
    </w:p>
    <w:p w:rsidR="001D1810" w:rsidRDefault="001D1810" w:rsidP="0074367A">
      <w:r>
        <w:t>This Report</w:t>
      </w:r>
      <w:r w:rsidR="007A5D9E">
        <w:t>, Tasmania</w:t>
      </w:r>
      <w:r w:rsidR="003925FA">
        <w:t>n</w:t>
      </w:r>
      <w:r w:rsidR="007A5D9E">
        <w:t xml:space="preserve"> Shipping and Ports</w:t>
      </w:r>
      <w:r w:rsidR="009D323B">
        <w:t>, examines</w:t>
      </w:r>
      <w:r>
        <w:t xml:space="preserve"> the features, benefits and relative efficiencies of Bass Strait shipping services and Tasmania’s three northern ports.  It also investigates the underlying cost considerations to vessel owners which form the basis of freight rates and considers the potential for the resumption of direct call international shipping services.  Key findings in each of these areas are set out below.</w:t>
      </w:r>
    </w:p>
    <w:p w:rsidR="001D1810" w:rsidRDefault="00135DD2" w:rsidP="009A1986">
      <w:pPr>
        <w:pStyle w:val="Heading2"/>
      </w:pPr>
      <w:bookmarkStart w:id="11" w:name="_Toc367700214"/>
      <w:r>
        <w:t>Findings</w:t>
      </w:r>
      <w:bookmarkEnd w:id="11"/>
    </w:p>
    <w:p w:rsidR="00135DD2" w:rsidRPr="00135DD2" w:rsidRDefault="00135DD2" w:rsidP="00EF4C68">
      <w:pPr>
        <w:pStyle w:val="Heading3"/>
      </w:pPr>
      <w:bookmarkStart w:id="12" w:name="_Toc367700215"/>
      <w:r>
        <w:t xml:space="preserve">The </w:t>
      </w:r>
      <w:r w:rsidR="003925FA">
        <w:t>C</w:t>
      </w:r>
      <w:r>
        <w:t>ost of Bass Strait Shipping Services</w:t>
      </w:r>
      <w:bookmarkEnd w:id="12"/>
    </w:p>
    <w:p w:rsidR="001D1810" w:rsidRDefault="001D1810" w:rsidP="0074367A">
      <w:r>
        <w:t>For freight users, the price of shipping across Bass Strait is a significant cost of doing business.  As discussed in Aurecon’s report ‘Tasmanian Supply Chains’, the Bass Strait shipping cost component is proportionally the largest single cost in a typical Tasmanian freight user’s transport supply chain.  This report also identifies that there are price variances within the market, largely based on volume but also on service (time sensitivity of fresh produce).</w:t>
      </w:r>
    </w:p>
    <w:p w:rsidR="001D1810" w:rsidRDefault="001D1810" w:rsidP="0074367A">
      <w:r>
        <w:t>The price of shipping across Bass Strait is often raised in comparison to the cost of direct international shipping to Asia or in comparison with similar short sea services elsewhere in the world.</w:t>
      </w:r>
    </w:p>
    <w:p w:rsidR="004D69B8" w:rsidRDefault="001D1810" w:rsidP="0074367A">
      <w:r>
        <w:t xml:space="preserve">This study found that </w:t>
      </w:r>
      <w:r w:rsidR="00AF6026">
        <w:t xml:space="preserve">Roll on/Roll off (RORO) </w:t>
      </w:r>
      <w:r>
        <w:t xml:space="preserve">vessels used by Bass Strait shipping operators are well suited to the variety of freight that it serves (i.e. containers, trucks, break bulk and over-dimensional). This type of vessel also provides the flexibility for fast loading and unloading of time sensitive freight.  </w:t>
      </w:r>
    </w:p>
    <w:p w:rsidR="001D1810" w:rsidRDefault="00AF6026" w:rsidP="0074367A">
      <w:r>
        <w:t>RORO</w:t>
      </w:r>
      <w:r w:rsidR="001D1810">
        <w:t xml:space="preserve"> vessels are used elsewhere in the world where trade is similar.  Short sea trades also use conventional or container vessels.  These typically serve trades where freight is not ‘time sensitive’ – generally bulk freight or freight in containers that are not required to be delivered to the market quickly.</w:t>
      </w:r>
    </w:p>
    <w:p w:rsidR="001D1810" w:rsidRDefault="001D1810" w:rsidP="0074367A">
      <w:r>
        <w:t>For vessel owners, it is estimated that 65% of costs are fixed or exist regardless of activity and 35% are variable or related to volume and activity. A significant characteristic of shipping operations are high capital costs.  Operating costs are also largely fixed</w:t>
      </w:r>
      <w:r w:rsidR="004D69B8">
        <w:t>. These costs include</w:t>
      </w:r>
      <w:r>
        <w:t xml:space="preserve"> crewing, maintenance, insurance etc.  Similar to aviation, the shipping industry is highly regulated.  Key factors supporting an economic return on this investment are the use and utilisation of the vessel and maximising ‘economies of scale’ (i.e. assuming sufficient demand, the larger the vessel, the more freight it will carry for the same fixed crewing and maintenance cost).</w:t>
      </w:r>
    </w:p>
    <w:p w:rsidR="001D1810" w:rsidRDefault="001D1810" w:rsidP="0074367A">
      <w:r>
        <w:t xml:space="preserve">A comparison of costs of liner services to Asia from the mainland and Bass Strait shipping to the mainland is not appropriate.  This is because the liner service is </w:t>
      </w:r>
      <w:r w:rsidR="00FD0E1B">
        <w:t>fundamentally different</w:t>
      </w:r>
      <w:r>
        <w:t xml:space="preserve"> and has different market drivers.  Compared to Bass Strait services, International Liners carry significantly greater volumes, have a higher degree of uniformity in the presentation of freight, have longer delivery windows and lower service frequency.  In addition, the Australia to Asia freight rate is substantially less than from Asia to Australia due to the imbalance of containerised freight on this trade route.  Shipping lines offer discounted rates to shippers who want empty containers repositioned north.</w:t>
      </w:r>
    </w:p>
    <w:p w:rsidR="00FD0E1B" w:rsidRDefault="001D1810" w:rsidP="0074367A">
      <w:r>
        <w:t xml:space="preserve">The study undertook two benchmarking studies of short sea </w:t>
      </w:r>
      <w:r w:rsidR="00AF6026">
        <w:t>RORO</w:t>
      </w:r>
      <w:r>
        <w:t xml:space="preserve"> shipping services similar to Bass Strait.  While it is difficult to find comparable services and operating and regulatory environments; </w:t>
      </w:r>
      <w:r>
        <w:lastRenderedPageBreak/>
        <w:t xml:space="preserve">broadly comparable nominal rates on these benchmark services indicate that Bass Strait prices appear to be higher by </w:t>
      </w:r>
      <w:r w:rsidR="00FD0E1B">
        <w:t xml:space="preserve">approximately </w:t>
      </w:r>
      <w:r>
        <w:t xml:space="preserve">24%.  </w:t>
      </w:r>
    </w:p>
    <w:p w:rsidR="001D1810" w:rsidRDefault="001D1810" w:rsidP="0074367A">
      <w:r>
        <w:t xml:space="preserve">This price difference should </w:t>
      </w:r>
      <w:r w:rsidR="00FD0E1B">
        <w:t xml:space="preserve">however </w:t>
      </w:r>
      <w:r>
        <w:t>be put into context.  It is in part influenced by costs which are higher in Australia, mainly due to Australian labour costs and fuel.  This report found that these input costs for Australian shipping to be 23% higher than European costs.</w:t>
      </w:r>
    </w:p>
    <w:p w:rsidR="001D1810" w:rsidRDefault="001D1810" w:rsidP="0074367A">
      <w:r>
        <w:t>For Bass Strait shipping operators, the cost of providing shipping services is impacted by:</w:t>
      </w:r>
    </w:p>
    <w:p w:rsidR="001D1810" w:rsidRPr="0074367A" w:rsidRDefault="00F7019F" w:rsidP="0074367A">
      <w:pPr>
        <w:pStyle w:val="Bullet1"/>
      </w:pPr>
      <w:r>
        <w:t xml:space="preserve">Labour costs.  </w:t>
      </w:r>
      <w:r w:rsidR="001D1810" w:rsidRPr="0074367A">
        <w:t>Being a coastal trade, Bass Strait shipping falls under Australia’s cabotage laws meaning only Australian flagged and crewed vessels can operate this trade. The impact on the cost of freight is that the wages and costs for Australian crews are three to six times higher than rates of international flagged vessels.</w:t>
      </w:r>
    </w:p>
    <w:p w:rsidR="001D1810" w:rsidRDefault="001D1810" w:rsidP="0074367A">
      <w:pPr>
        <w:pStyle w:val="Bullet1"/>
      </w:pPr>
      <w:r w:rsidRPr="0074367A">
        <w:t>Bunker fuel prices</w:t>
      </w:r>
      <w:r w:rsidR="00F7019F">
        <w:t xml:space="preserve">.  </w:t>
      </w:r>
      <w:r w:rsidRPr="0074367A">
        <w:t>Australia</w:t>
      </w:r>
      <w:r w:rsidR="00F7019F">
        <w:t>n fuel costs</w:t>
      </w:r>
      <w:r w:rsidRPr="0074367A">
        <w:t xml:space="preserve"> are substantially higher than prices in the main bunkering ports in the Asian region.</w:t>
      </w:r>
    </w:p>
    <w:p w:rsidR="00310168" w:rsidRPr="0074367A" w:rsidRDefault="00310168" w:rsidP="00310168">
      <w:pPr>
        <w:pStyle w:val="Bullet1"/>
        <w:numPr>
          <w:ilvl w:val="0"/>
          <w:numId w:val="0"/>
        </w:numPr>
        <w:ind w:left="142"/>
      </w:pPr>
      <w:r>
        <w:t xml:space="preserve">For </w:t>
      </w:r>
      <w:r w:rsidR="00AF6026">
        <w:t>RORO</w:t>
      </w:r>
      <w:r>
        <w:t xml:space="preserve"> vessels in general, the cost of shipping services is more expensive than container shipping due to:</w:t>
      </w:r>
    </w:p>
    <w:p w:rsidR="001D1810" w:rsidRPr="0074367A" w:rsidRDefault="00F7019F" w:rsidP="0074367A">
      <w:pPr>
        <w:pStyle w:val="Bullet1"/>
      </w:pPr>
      <w:r>
        <w:t xml:space="preserve">The nature of the trade.  </w:t>
      </w:r>
      <w:r w:rsidR="001D1810" w:rsidRPr="0074367A">
        <w:t>Short-sea trade vessels are more heavily utilised and subject to</w:t>
      </w:r>
      <w:r w:rsidR="00FD0E1B">
        <w:t xml:space="preserve"> more</w:t>
      </w:r>
      <w:r w:rsidR="001D1810" w:rsidRPr="0074367A">
        <w:t xml:space="preserve"> wear and tear compared to longer distance international liners.  </w:t>
      </w:r>
      <w:r w:rsidRPr="0074367A">
        <w:t xml:space="preserve">Across Bass Strait, freight is loaded and discharged twice in every 24-hour period.  This continuous loading and unloading and mandatory rest periods require higher crew numbers </w:t>
      </w:r>
      <w:r w:rsidR="00FD0E1B">
        <w:t>when compared to</w:t>
      </w:r>
      <w:r w:rsidRPr="0074367A">
        <w:t xml:space="preserve"> international liners.</w:t>
      </w:r>
      <w:r>
        <w:t xml:space="preserve"> In comparison</w:t>
      </w:r>
      <w:r w:rsidR="001D1810" w:rsidRPr="0074367A">
        <w:t xml:space="preserve">, longer distance vessels would only load and discharge freight once every seven days or longer. </w:t>
      </w:r>
    </w:p>
    <w:p w:rsidR="001D1810" w:rsidRPr="0074367A" w:rsidRDefault="00F7019F" w:rsidP="0074367A">
      <w:pPr>
        <w:pStyle w:val="Bullet1"/>
      </w:pPr>
      <w:r>
        <w:t xml:space="preserve">Freight configuration.  </w:t>
      </w:r>
      <w:r w:rsidR="001D1810" w:rsidRPr="0074367A">
        <w:t>The variety of configurations in the way freight is presented cause</w:t>
      </w:r>
      <w:r>
        <w:t>s</w:t>
      </w:r>
      <w:r w:rsidR="001D1810" w:rsidRPr="0074367A">
        <w:t xml:space="preserve"> significant operational issues and inefficiencies with receival, handling and storage at terminals; and stowage on board</w:t>
      </w:r>
      <w:r w:rsidR="00FD0E1B">
        <w:t xml:space="preserve"> </w:t>
      </w:r>
      <w:r w:rsidR="00AF6026">
        <w:t>RORO</w:t>
      </w:r>
      <w:r w:rsidR="00FD0E1B">
        <w:t xml:space="preserve"> vessels</w:t>
      </w:r>
      <w:r>
        <w:t xml:space="preserve">.  This impacts </w:t>
      </w:r>
      <w:r w:rsidR="001D1810" w:rsidRPr="0074367A">
        <w:t>the ability to maximise the lift and management at the destination terminal.</w:t>
      </w:r>
    </w:p>
    <w:p w:rsidR="001D1810" w:rsidRPr="00A25B99" w:rsidRDefault="001D1810" w:rsidP="00EF4C68">
      <w:pPr>
        <w:pStyle w:val="Heading3"/>
      </w:pPr>
      <w:bookmarkStart w:id="13" w:name="_Toc367700216"/>
      <w:r w:rsidRPr="00A25B99">
        <w:t>International Liner Service Calls at Tasmania</w:t>
      </w:r>
      <w:bookmarkEnd w:id="13"/>
    </w:p>
    <w:p w:rsidR="007A5D9E" w:rsidRDefault="001D1810" w:rsidP="0074367A">
      <w:r>
        <w:t>A direct international container service offers the least complex and lower cost supply chain for Tasmanian importers and exporters.  The withdrawal of direct international services in 2011 and current proposals to service Tasmania only if subsidised suggest that the economics of direct call container services are marginal</w:t>
      </w:r>
      <w:r w:rsidR="00E40D86">
        <w:t xml:space="preserve"> at present</w:t>
      </w:r>
      <w:r>
        <w:t xml:space="preserve">.  </w:t>
      </w:r>
    </w:p>
    <w:p w:rsidR="007A5D9E" w:rsidRDefault="001D1810" w:rsidP="0074367A">
      <w:r>
        <w:t xml:space="preserve">There is </w:t>
      </w:r>
      <w:r w:rsidR="007A5D9E">
        <w:t xml:space="preserve">interdependence between </w:t>
      </w:r>
      <w:r>
        <w:t xml:space="preserve">frequency of service and demand for freight. </w:t>
      </w:r>
      <w:r w:rsidR="007A5D9E">
        <w:t xml:space="preserve"> </w:t>
      </w:r>
      <w:r>
        <w:t xml:space="preserve">If there is sufficient freight ships will call, </w:t>
      </w:r>
      <w:r w:rsidR="007A5D9E">
        <w:t xml:space="preserve">the more freight the more frequent the calls.  Conversely, as with the AAA service, </w:t>
      </w:r>
      <w:r>
        <w:t xml:space="preserve">if there </w:t>
      </w:r>
      <w:r w:rsidR="007A5D9E">
        <w:t xml:space="preserve">is little freight, services will cease of be infrequent. </w:t>
      </w:r>
    </w:p>
    <w:p w:rsidR="001D1810" w:rsidRDefault="001D1810" w:rsidP="0074367A">
      <w:r>
        <w:t>A basic analysis of available export volumes (based on FY 2011/12 transhipment data from the Port of Melbourne) and allocating these volumes to a service level and port, shows that the volume of container</w:t>
      </w:r>
      <w:r w:rsidR="00F7019F">
        <w:t>s would have been around 600 TEU</w:t>
      </w:r>
      <w:r>
        <w:t xml:space="preserve"> per call for a weekly service (assuming that cargoes could be assembled in one place).  This is below the volume GPS Logistics Pty Ltd suggests is likely to attract a direct call vessel w</w:t>
      </w:r>
      <w:r w:rsidR="00F7019F">
        <w:t>hich was 700 to 1,000 TEU.  Our</w:t>
      </w:r>
      <w:r>
        <w:t xml:space="preserve"> analysis suggests that there is sufficient volume to attract a </w:t>
      </w:r>
      <w:r w:rsidR="003F0535">
        <w:t xml:space="preserve">container </w:t>
      </w:r>
      <w:r>
        <w:t>vessel to call mo</w:t>
      </w:r>
      <w:r w:rsidR="007A5D9E">
        <w:t xml:space="preserve">nthly, </w:t>
      </w:r>
      <w:r w:rsidR="003F0535">
        <w:t xml:space="preserve">but </w:t>
      </w:r>
      <w:r w:rsidR="007A5D9E">
        <w:t xml:space="preserve">only </w:t>
      </w:r>
      <w:r>
        <w:t>if volumes were aggregated in one place.</w:t>
      </w:r>
    </w:p>
    <w:p w:rsidR="003F0535" w:rsidRDefault="001D1810" w:rsidP="0074367A">
      <w:r>
        <w:lastRenderedPageBreak/>
        <w:t xml:space="preserve">In addition to cargo volumes, there are other issues which may </w:t>
      </w:r>
      <w:r w:rsidR="003F0535">
        <w:t>militate</w:t>
      </w:r>
      <w:r>
        <w:t xml:space="preserve"> against a return to a direct call vessel.  The Tasmanian imbalance between import and export</w:t>
      </w:r>
      <w:r w:rsidR="00E40D86">
        <w:t xml:space="preserve"> flows</w:t>
      </w:r>
      <w:r w:rsidR="003F0535">
        <w:t xml:space="preserve"> is one of these.  This</w:t>
      </w:r>
      <w:r>
        <w:t xml:space="preserve"> would result in significant one way freight for an International Liner service. While this could be supplemented with importing empty containers it is unlikely to be profitable and is counter to</w:t>
      </w:r>
      <w:r w:rsidR="00F7019F">
        <w:t xml:space="preserve"> the normal liner trade servicing Australia from Asia which is</w:t>
      </w:r>
      <w:r>
        <w:t xml:space="preserve"> predominantly loaded containers moving south.  </w:t>
      </w:r>
    </w:p>
    <w:p w:rsidR="001D1810" w:rsidRDefault="003F0535" w:rsidP="0074367A">
      <w:r>
        <w:t>A further issue is the provision of infrastructure.  T</w:t>
      </w:r>
      <w:r w:rsidR="001D1810">
        <w:t>he trend towards larger vessels will require ever more efficient infrastructure and continual upgrading of facilities.  Whether it makes good economic sense for Tasmania to keep pace with shipping infrastructure requirements that larger vessels may require is not clear.</w:t>
      </w:r>
    </w:p>
    <w:p w:rsidR="001D1810" w:rsidRPr="00103EF2" w:rsidRDefault="001D1810" w:rsidP="00EF4C68">
      <w:pPr>
        <w:pStyle w:val="Heading3"/>
      </w:pPr>
      <w:bookmarkStart w:id="14" w:name="_Toc367700217"/>
      <w:r w:rsidRPr="00103EF2">
        <w:t xml:space="preserve">Terminal </w:t>
      </w:r>
      <w:r w:rsidR="003925FA">
        <w:t>O</w:t>
      </w:r>
      <w:r w:rsidRPr="00103EF2">
        <w:t xml:space="preserve">peration and </w:t>
      </w:r>
      <w:r w:rsidR="003925FA">
        <w:t>U</w:t>
      </w:r>
      <w:r w:rsidRPr="00103EF2">
        <w:t>tilisation</w:t>
      </w:r>
      <w:bookmarkEnd w:id="14"/>
    </w:p>
    <w:p w:rsidR="00F7019F" w:rsidRDefault="001D1810" w:rsidP="0074367A">
      <w:r>
        <w:t xml:space="preserve">The study found that Tasmanian </w:t>
      </w:r>
      <w:r w:rsidR="004A0B52">
        <w:t>RORO</w:t>
      </w:r>
      <w:r>
        <w:t xml:space="preserve"> shipping operations are efficient in their stevedoring operations, and achieve similar “lift” rates to container terminals elsewhere</w:t>
      </w:r>
      <w:r w:rsidR="00F7019F">
        <w:t xml:space="preserve">. </w:t>
      </w:r>
      <w:r>
        <w:t xml:space="preserve"> </w:t>
      </w:r>
    </w:p>
    <w:p w:rsidR="000A6E70" w:rsidRDefault="00EF4C68" w:rsidP="0074367A">
      <w:r>
        <w:t xml:space="preserve">Terminals are also efficient in throughput terms as well. </w:t>
      </w:r>
      <w:r w:rsidR="00F7019F">
        <w:t>The terminals’ w</w:t>
      </w:r>
      <w:r w:rsidR="001D1810">
        <w:t xml:space="preserve">illingness to accept freight for shipment on the same day, combined with no </w:t>
      </w:r>
      <w:r w:rsidR="00023AC6">
        <w:t>requirements for</w:t>
      </w:r>
      <w:r w:rsidR="001D1810">
        <w:t xml:space="preserve"> customs clearance on domestic freight </w:t>
      </w:r>
      <w:r w:rsidR="00023AC6">
        <w:t>results in</w:t>
      </w:r>
      <w:r w:rsidR="001D1810">
        <w:t xml:space="preserve"> the utilisation of terminals </w:t>
      </w:r>
      <w:r>
        <w:t>(</w:t>
      </w:r>
      <w:r w:rsidR="00023AC6">
        <w:t>on a throughput per hectare basis being high</w:t>
      </w:r>
      <w:r>
        <w:t>)</w:t>
      </w:r>
      <w:r w:rsidR="00023AC6">
        <w:t xml:space="preserve"> and comparing</w:t>
      </w:r>
      <w:r w:rsidR="001D1810">
        <w:t xml:space="preserve"> favourably with other mainland port terminals</w:t>
      </w:r>
      <w:r w:rsidR="00023AC6">
        <w:t>.</w:t>
      </w:r>
    </w:p>
    <w:p w:rsidR="001D1810" w:rsidRPr="00103EF2" w:rsidRDefault="001D1810" w:rsidP="00EF4C68">
      <w:pPr>
        <w:pStyle w:val="Heading3"/>
      </w:pPr>
      <w:bookmarkStart w:id="15" w:name="_Toc367700218"/>
      <w:r w:rsidRPr="00103EF2">
        <w:t xml:space="preserve">Port </w:t>
      </w:r>
      <w:r w:rsidR="003925FA">
        <w:t>C</w:t>
      </w:r>
      <w:r w:rsidRPr="00103EF2">
        <w:t xml:space="preserve">apacity and </w:t>
      </w:r>
      <w:r w:rsidR="003925FA">
        <w:t>F</w:t>
      </w:r>
      <w:r w:rsidRPr="00103EF2">
        <w:t xml:space="preserve">uture </w:t>
      </w:r>
      <w:r w:rsidR="003925FA">
        <w:t>P</w:t>
      </w:r>
      <w:r w:rsidRPr="00103EF2">
        <w:t>lanning</w:t>
      </w:r>
      <w:bookmarkEnd w:id="15"/>
    </w:p>
    <w:p w:rsidR="00023AC6" w:rsidRDefault="001D1810" w:rsidP="0074367A">
      <w:r>
        <w:t xml:space="preserve">With incremental investment in port infrastructure and some productivity improvement there is sufficient capacity at Burnie and Devonport to cater for the growth in volume, anticipated by the Port of Melbourne until 2025.  </w:t>
      </w:r>
    </w:p>
    <w:p w:rsidR="00EF4C68" w:rsidRDefault="001D1810" w:rsidP="0074367A">
      <w:r>
        <w:t xml:space="preserve">The growth rates proposed by the Port of Melbourne seem optimistic compared to recent actual growth rates and so capacity at these two berths may take </w:t>
      </w:r>
      <w:r w:rsidR="00023AC6">
        <w:t xml:space="preserve">much </w:t>
      </w:r>
      <w:r>
        <w:t xml:space="preserve">longer to be reached.   There are additional </w:t>
      </w:r>
      <w:r w:rsidR="00AF6026">
        <w:t>RORO</w:t>
      </w:r>
      <w:r>
        <w:t xml:space="preserve"> assets at Bell Bay (currently not operational) that could further add to Tasmania’s </w:t>
      </w:r>
      <w:r w:rsidR="00AF6026">
        <w:t>RORO</w:t>
      </w:r>
      <w:r w:rsidR="00023AC6">
        <w:t xml:space="preserve"> </w:t>
      </w:r>
      <w:r>
        <w:t>port capacity</w:t>
      </w:r>
      <w:r w:rsidR="00E40D86">
        <w:t>, if required</w:t>
      </w:r>
      <w:r>
        <w:t>.</w:t>
      </w:r>
    </w:p>
    <w:p w:rsidR="0082579E" w:rsidRDefault="0082579E" w:rsidP="0082579E">
      <w:r>
        <w:t xml:space="preserve">Investment in the development of Bell Bay into a 400,000 TEU international container terminal is best made cautiously, in view of the relatively small volumes which would be exported and the likely high cost of such a development. </w:t>
      </w:r>
    </w:p>
    <w:p w:rsidR="001D1810" w:rsidRDefault="001D1810" w:rsidP="0074367A">
      <w:r>
        <w:t>A comparison of the feat</w:t>
      </w:r>
      <w:r w:rsidR="00023AC6">
        <w:t>ures of ports shows</w:t>
      </w:r>
      <w:r>
        <w:t xml:space="preserve"> the key differentiating features between Bell Bay</w:t>
      </w:r>
      <w:r w:rsidR="00023AC6">
        <w:t xml:space="preserve"> and Burnie are that Bell Bay are</w:t>
      </w:r>
      <w:r>
        <w:t xml:space="preserve"> the superior port in terms of water depth and that Burnie is best in terms of ocean access.  Devonport is not a candidate to be a container port because of land constraints.</w:t>
      </w:r>
    </w:p>
    <w:p w:rsidR="001D1810" w:rsidRDefault="001D1810" w:rsidP="0074367A">
      <w:r>
        <w:t>The arguments for specialisation of activity at a given port are strongest where they relate to serving their hinterland activities and minimising road freight.  In the immediate term the benefits of specialisation do not seem large.</w:t>
      </w:r>
    </w:p>
    <w:p w:rsidR="001D1810" w:rsidRDefault="001D1810" w:rsidP="001D1810">
      <w:pPr>
        <w:spacing w:after="200"/>
        <w:jc w:val="left"/>
        <w:rPr>
          <w:rFonts w:asciiTheme="majorHAnsi" w:eastAsiaTheme="majorEastAsia" w:hAnsiTheme="majorHAnsi" w:cstheme="majorBidi"/>
          <w:b/>
          <w:bCs/>
          <w:color w:val="353D30" w:themeColor="text1"/>
          <w:sz w:val="26"/>
          <w:szCs w:val="26"/>
        </w:rPr>
      </w:pPr>
      <w:bookmarkStart w:id="16" w:name="_Toc357761368"/>
    </w:p>
    <w:p w:rsidR="001D1810" w:rsidRDefault="001D1810" w:rsidP="009A1986">
      <w:pPr>
        <w:pStyle w:val="Heading1"/>
      </w:pPr>
      <w:bookmarkStart w:id="17" w:name="_Toc358228793"/>
      <w:bookmarkStart w:id="18" w:name="_Toc358361290"/>
      <w:bookmarkStart w:id="19" w:name="_Toc364154082"/>
      <w:bookmarkStart w:id="20" w:name="_Toc367700219"/>
      <w:bookmarkEnd w:id="16"/>
      <w:r>
        <w:lastRenderedPageBreak/>
        <w:t xml:space="preserve">Study </w:t>
      </w:r>
      <w:r w:rsidR="000012D4">
        <w:t>O</w:t>
      </w:r>
      <w:r>
        <w:t>bjectives</w:t>
      </w:r>
      <w:bookmarkEnd w:id="17"/>
      <w:bookmarkEnd w:id="18"/>
      <w:bookmarkEnd w:id="19"/>
      <w:r w:rsidR="00AF6026">
        <w:t xml:space="preserve"> and </w:t>
      </w:r>
      <w:r w:rsidR="000012D4">
        <w:t>M</w:t>
      </w:r>
      <w:r w:rsidR="00AF6026">
        <w:t>ethodology</w:t>
      </w:r>
      <w:bookmarkEnd w:id="20"/>
    </w:p>
    <w:p w:rsidR="000012D4" w:rsidRPr="00AF6026" w:rsidRDefault="000012D4" w:rsidP="000012D4">
      <w:pPr>
        <w:pStyle w:val="Bullet1"/>
        <w:numPr>
          <w:ilvl w:val="0"/>
          <w:numId w:val="0"/>
        </w:numPr>
        <w:rPr>
          <w:b/>
        </w:rPr>
      </w:pPr>
      <w:r>
        <w:rPr>
          <w:b/>
        </w:rPr>
        <w:t>Objectives</w:t>
      </w:r>
      <w:r w:rsidRPr="00AF6026">
        <w:rPr>
          <w:b/>
        </w:rPr>
        <w:t>:</w:t>
      </w:r>
    </w:p>
    <w:p w:rsidR="001D1810" w:rsidRDefault="001D1810" w:rsidP="0074367A">
      <w:r>
        <w:t>Aurecon’s objectives in this report were to:</w:t>
      </w:r>
    </w:p>
    <w:p w:rsidR="001D1810" w:rsidRDefault="003925FA" w:rsidP="0074367A">
      <w:pPr>
        <w:pStyle w:val="Bullet1"/>
      </w:pPr>
      <w:r>
        <w:t>r</w:t>
      </w:r>
      <w:r w:rsidR="001D1810" w:rsidRPr="00064925">
        <w:t xml:space="preserve">eview Bass Strait </w:t>
      </w:r>
      <w:r w:rsidR="001D1810">
        <w:t>shipping and associated costs and compare these to similar international services</w:t>
      </w:r>
      <w:r>
        <w:t>;</w:t>
      </w:r>
      <w:r w:rsidR="001D1810">
        <w:t xml:space="preserve">  </w:t>
      </w:r>
    </w:p>
    <w:p w:rsidR="001D1810" w:rsidRDefault="003925FA" w:rsidP="0074367A">
      <w:pPr>
        <w:pStyle w:val="Bullet1"/>
      </w:pPr>
      <w:r>
        <w:t>c</w:t>
      </w:r>
      <w:r w:rsidR="001D1810">
        <w:t>onduct a broad review of Tasmania’s northern ports and compare port productivity to container ports elsewhere</w:t>
      </w:r>
      <w:r>
        <w:t>; and</w:t>
      </w:r>
      <w:r w:rsidR="001D1810">
        <w:t xml:space="preserve"> </w:t>
      </w:r>
    </w:p>
    <w:p w:rsidR="00AF6026" w:rsidRDefault="003925FA" w:rsidP="001C4BCC">
      <w:pPr>
        <w:pStyle w:val="Bullet1"/>
      </w:pPr>
      <w:r>
        <w:t>c</w:t>
      </w:r>
      <w:r w:rsidR="001D1810">
        <w:t>omment on the topics of port specialisation and port expansion in Tasmania, based on a desktop analysis.</w:t>
      </w:r>
      <w:bookmarkStart w:id="21" w:name="_Toc358228794"/>
      <w:bookmarkStart w:id="22" w:name="_Toc358361291"/>
      <w:bookmarkStart w:id="23" w:name="_Toc364154083"/>
    </w:p>
    <w:p w:rsidR="001D1810" w:rsidRPr="00AF6026" w:rsidRDefault="001D1810" w:rsidP="00AF6026">
      <w:pPr>
        <w:pStyle w:val="Bullet1"/>
        <w:numPr>
          <w:ilvl w:val="0"/>
          <w:numId w:val="0"/>
        </w:numPr>
        <w:rPr>
          <w:b/>
        </w:rPr>
      </w:pPr>
      <w:r w:rsidRPr="00AF6026">
        <w:rPr>
          <w:b/>
        </w:rPr>
        <w:t>Methodology</w:t>
      </w:r>
      <w:bookmarkEnd w:id="21"/>
      <w:bookmarkEnd w:id="22"/>
      <w:bookmarkEnd w:id="23"/>
      <w:r w:rsidR="00AF6026" w:rsidRPr="00AF6026">
        <w:rPr>
          <w:b/>
        </w:rPr>
        <w:t>:</w:t>
      </w:r>
    </w:p>
    <w:p w:rsidR="001D1810" w:rsidRDefault="001D1810" w:rsidP="0074367A">
      <w:bookmarkStart w:id="24" w:name="_Toc356482026"/>
      <w:bookmarkStart w:id="25" w:name="_Toc356482664"/>
      <w:bookmarkStart w:id="26" w:name="_Toc356483303"/>
      <w:bookmarkStart w:id="27" w:name="_Toc356482027"/>
      <w:bookmarkStart w:id="28" w:name="_Toc356482665"/>
      <w:bookmarkStart w:id="29" w:name="_Toc356483304"/>
      <w:bookmarkStart w:id="30" w:name="_Toc356482028"/>
      <w:bookmarkStart w:id="31" w:name="_Toc356482666"/>
      <w:bookmarkStart w:id="32" w:name="_Toc356483305"/>
      <w:bookmarkStart w:id="33" w:name="_Toc356482031"/>
      <w:bookmarkStart w:id="34" w:name="_Toc356482669"/>
      <w:bookmarkStart w:id="35" w:name="_Toc356483308"/>
      <w:bookmarkStart w:id="36" w:name="_Toc356482032"/>
      <w:bookmarkStart w:id="37" w:name="_Toc356482670"/>
      <w:bookmarkStart w:id="38" w:name="_Toc356483309"/>
      <w:bookmarkStart w:id="39" w:name="_Toc356482034"/>
      <w:bookmarkStart w:id="40" w:name="_Toc356482672"/>
      <w:bookmarkStart w:id="41" w:name="_Toc356483311"/>
      <w:bookmarkStart w:id="42" w:name="_Toc356482038"/>
      <w:bookmarkStart w:id="43" w:name="_Toc356482676"/>
      <w:bookmarkStart w:id="44" w:name="_Toc356483315"/>
      <w:bookmarkStart w:id="45" w:name="_Toc356482039"/>
      <w:bookmarkStart w:id="46" w:name="_Toc356482677"/>
      <w:bookmarkStart w:id="47" w:name="_Toc356483316"/>
      <w:bookmarkStart w:id="48" w:name="_Toc356482040"/>
      <w:bookmarkStart w:id="49" w:name="_Toc356482678"/>
      <w:bookmarkStart w:id="50" w:name="_Toc356483317"/>
      <w:bookmarkStart w:id="51" w:name="_Toc356482042"/>
      <w:bookmarkStart w:id="52" w:name="_Toc356482680"/>
      <w:bookmarkStart w:id="53" w:name="_Toc356483319"/>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t xml:space="preserve">Interviews were conducted with infrastructure and freight providers, freight forwarders and vessel brokers to understand the nature of Bass Strait shipping. </w:t>
      </w:r>
    </w:p>
    <w:p w:rsidR="001D1810" w:rsidRDefault="001D1810" w:rsidP="0074367A">
      <w:r>
        <w:t xml:space="preserve">The task was undertaken by experienced shipping and port consultants, and their findings draw on the interviews conducted, their observations on the operations visited and their own industry knowledge. </w:t>
      </w:r>
    </w:p>
    <w:p w:rsidR="001D1810" w:rsidRDefault="001D1810" w:rsidP="0074367A">
      <w:r>
        <w:t>Key reports and publicly available data and commentary were also reviewed.</w:t>
      </w:r>
    </w:p>
    <w:p w:rsidR="001D1810" w:rsidRDefault="001D1810" w:rsidP="0074367A"/>
    <w:p w:rsidR="001D1810" w:rsidRDefault="001D1810" w:rsidP="001D1810">
      <w:pPr>
        <w:spacing w:after="200"/>
        <w:jc w:val="left"/>
        <w:rPr>
          <w:rFonts w:asciiTheme="majorHAnsi" w:eastAsiaTheme="majorEastAsia" w:hAnsiTheme="majorHAnsi" w:cstheme="majorBidi"/>
          <w:b/>
          <w:bCs/>
          <w:color w:val="7AB800" w:themeColor="accent1"/>
          <w:sz w:val="36"/>
          <w:szCs w:val="26"/>
        </w:rPr>
      </w:pPr>
      <w:bookmarkStart w:id="54" w:name="_Toc357761384"/>
      <w:bookmarkStart w:id="55" w:name="_Toc358228796"/>
      <w:bookmarkStart w:id="56" w:name="_Toc358361293"/>
      <w:r>
        <w:br w:type="page"/>
      </w:r>
    </w:p>
    <w:p w:rsidR="001D1810" w:rsidRDefault="001D1810" w:rsidP="009A1986">
      <w:pPr>
        <w:pStyle w:val="Heading1"/>
      </w:pPr>
      <w:bookmarkStart w:id="57" w:name="_Ref361921622"/>
      <w:bookmarkStart w:id="58" w:name="_Ref361921631"/>
      <w:bookmarkStart w:id="59" w:name="_Ref361921663"/>
      <w:bookmarkStart w:id="60" w:name="_Ref361921671"/>
      <w:bookmarkStart w:id="61" w:name="_Toc364154084"/>
      <w:bookmarkStart w:id="62" w:name="_Toc367700220"/>
      <w:r>
        <w:lastRenderedPageBreak/>
        <w:t>Shipping</w:t>
      </w:r>
      <w:bookmarkEnd w:id="54"/>
      <w:bookmarkEnd w:id="55"/>
      <w:bookmarkEnd w:id="56"/>
      <w:bookmarkEnd w:id="57"/>
      <w:bookmarkEnd w:id="58"/>
      <w:bookmarkEnd w:id="59"/>
      <w:bookmarkEnd w:id="60"/>
      <w:bookmarkEnd w:id="61"/>
      <w:bookmarkEnd w:id="62"/>
    </w:p>
    <w:p w:rsidR="001D1810" w:rsidRDefault="001D1810" w:rsidP="001D1810">
      <w:r>
        <w:t>Bass Strait shipping services both domestic and international markets, as a feeder service via transhipment through the Port of Melbourne (</w:t>
      </w:r>
      <w:r w:rsidR="007D59CC">
        <w:t>PoM</w:t>
      </w:r>
      <w:r>
        <w:t>). The majority of Tasmania’s freight is destined for domestic markets.</w:t>
      </w:r>
    </w:p>
    <w:p w:rsidR="001D1810" w:rsidRDefault="001D1810" w:rsidP="001D1810">
      <w:r>
        <w:t>This chapter examines Bass Strait shipping services and examines their features, benefits and inefficiencies to users</w:t>
      </w:r>
      <w:r w:rsidR="00C821C7">
        <w:t>. It also discusses</w:t>
      </w:r>
      <w:r>
        <w:t xml:space="preserve"> aspects of International Liner shipping services that are relevant to Tasmanian imports and exports. </w:t>
      </w:r>
    </w:p>
    <w:p w:rsidR="001D1810" w:rsidRDefault="001D1810" w:rsidP="001D1810">
      <w:r>
        <w:t xml:space="preserve">Bass Strait freight rates are also compared against similar international short sea trade ferry services. </w:t>
      </w:r>
    </w:p>
    <w:p w:rsidR="001D1810" w:rsidRPr="009B11F2" w:rsidRDefault="001D1810" w:rsidP="0040197A">
      <w:pPr>
        <w:pStyle w:val="Heading2"/>
      </w:pPr>
      <w:bookmarkStart w:id="63" w:name="_Toc357761385"/>
      <w:bookmarkStart w:id="64" w:name="_Toc358228797"/>
      <w:bookmarkStart w:id="65" w:name="_Toc358361294"/>
      <w:bookmarkStart w:id="66" w:name="_Toc364154085"/>
      <w:bookmarkStart w:id="67" w:name="_Toc367700221"/>
      <w:r w:rsidRPr="009B11F2">
        <w:t xml:space="preserve">Bass Strait </w:t>
      </w:r>
      <w:r>
        <w:t>Shipping</w:t>
      </w:r>
      <w:r w:rsidRPr="009B11F2">
        <w:t xml:space="preserve"> </w:t>
      </w:r>
      <w:r>
        <w:t>S</w:t>
      </w:r>
      <w:r w:rsidRPr="009B11F2">
        <w:t>ervice</w:t>
      </w:r>
      <w:r>
        <w:t xml:space="preserve"> Providers</w:t>
      </w:r>
      <w:bookmarkEnd w:id="63"/>
      <w:bookmarkEnd w:id="64"/>
      <w:bookmarkEnd w:id="65"/>
      <w:bookmarkEnd w:id="66"/>
      <w:bookmarkEnd w:id="67"/>
    </w:p>
    <w:p w:rsidR="001D1810" w:rsidRDefault="001D1810" w:rsidP="0074367A">
      <w:r>
        <w:t>Three shipping operators</w:t>
      </w:r>
      <w:r w:rsidDel="00BB4B33">
        <w:t xml:space="preserve"> </w:t>
      </w:r>
      <w:r>
        <w:t>– Toll</w:t>
      </w:r>
      <w:r w:rsidR="003925FA">
        <w:t>-ANL</w:t>
      </w:r>
      <w:r>
        <w:t xml:space="preserve">, SeaRoad </w:t>
      </w:r>
      <w:r w:rsidR="003925FA">
        <w:t xml:space="preserve">Shipping </w:t>
      </w:r>
      <w:r>
        <w:t xml:space="preserve">and TT-Line – provide an overnight </w:t>
      </w:r>
      <w:r w:rsidR="00AF6026">
        <w:t>RORO</w:t>
      </w:r>
      <w:r>
        <w:t xml:space="preserve"> freight service across Bass Strait between the </w:t>
      </w:r>
      <w:r w:rsidR="00C821C7">
        <w:t xml:space="preserve">PoM </w:t>
      </w:r>
      <w:r>
        <w:t xml:space="preserve">and Tasmania’s northern ports of Burnie and Devonport. </w:t>
      </w:r>
    </w:p>
    <w:p w:rsidR="001D1810" w:rsidRDefault="001D1810" w:rsidP="0074367A">
      <w:r>
        <w:t>Figure 1 shows Aurecon’s estimate of container market share by volume of TEU for the major shippers in FY</w:t>
      </w:r>
      <w:r w:rsidR="003925FA">
        <w:t xml:space="preserve"> 20</w:t>
      </w:r>
      <w:r>
        <w:t>11/12. Toll is the largest shipping provider with just over half the market share, followed by SeaRoad</w:t>
      </w:r>
      <w:r w:rsidR="003925FA">
        <w:t xml:space="preserve"> Shipping</w:t>
      </w:r>
      <w:r>
        <w:t xml:space="preserve"> and TT-Line. Agility no longer operates their shipping service.</w:t>
      </w:r>
    </w:p>
    <w:p w:rsidR="001D1810" w:rsidRDefault="001D1810" w:rsidP="001D1810">
      <w:pPr>
        <w:keepNext/>
        <w:ind w:right="-64"/>
        <w:jc w:val="center"/>
      </w:pPr>
      <w:r>
        <w:rPr>
          <w:noProof/>
          <w:lang w:val="en-AU" w:eastAsia="en-AU"/>
        </w:rPr>
        <w:drawing>
          <wp:inline distT="0" distB="0" distL="0" distR="0">
            <wp:extent cx="4072963" cy="225631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t="3810" b="5714"/>
                    <a:stretch/>
                  </pic:blipFill>
                  <pic:spPr bwMode="auto">
                    <a:xfrm>
                      <a:off x="0" y="0"/>
                      <a:ext cx="4078899" cy="2259601"/>
                    </a:xfrm>
                    <a:prstGeom prst="rect">
                      <a:avLst/>
                    </a:prstGeom>
                    <a:ln>
                      <a:noFill/>
                    </a:ln>
                    <a:extLst>
                      <a:ext uri="{53640926-AAD7-44D8-BBD7-CCE9431645EC}">
                        <a14:shadowObscured xmlns:a14="http://schemas.microsoft.com/office/drawing/2010/main"/>
                      </a:ext>
                    </a:extLst>
                  </pic:spPr>
                </pic:pic>
              </a:graphicData>
            </a:graphic>
          </wp:inline>
        </w:drawing>
      </w:r>
    </w:p>
    <w:p w:rsidR="001D1810" w:rsidRPr="00222A45" w:rsidRDefault="001D1810" w:rsidP="001D1810">
      <w:pPr>
        <w:pStyle w:val="Caption"/>
      </w:pPr>
      <w:bookmarkStart w:id="68" w:name="_Toc364151987"/>
      <w:bookmarkStart w:id="69" w:name="_Toc366769136"/>
      <w:r w:rsidRPr="00222A45">
        <w:t xml:space="preserve">Figure </w:t>
      </w:r>
      <w:r w:rsidR="00CA7023" w:rsidRPr="00222A45">
        <w:fldChar w:fldCharType="begin"/>
      </w:r>
      <w:r w:rsidRPr="00222A45">
        <w:instrText xml:space="preserve"> SEQ Figure \* ARABIC </w:instrText>
      </w:r>
      <w:r w:rsidR="00CA7023" w:rsidRPr="00222A45">
        <w:fldChar w:fldCharType="separate"/>
      </w:r>
      <w:r w:rsidR="00FF5EB2">
        <w:rPr>
          <w:noProof/>
        </w:rPr>
        <w:t>1</w:t>
      </w:r>
      <w:r w:rsidR="00CA7023" w:rsidRPr="00222A45">
        <w:fldChar w:fldCharType="end"/>
      </w:r>
      <w:r w:rsidRPr="00222A45">
        <w:t>: Freight</w:t>
      </w:r>
      <w:r>
        <w:t xml:space="preserve"> Providers Market Share (Source:</w:t>
      </w:r>
      <w:r w:rsidRPr="00222A45">
        <w:t xml:space="preserve"> Aurecon analysis)</w:t>
      </w:r>
      <w:bookmarkEnd w:id="68"/>
      <w:bookmarkEnd w:id="69"/>
    </w:p>
    <w:p w:rsidR="001D1810" w:rsidRDefault="001D1810" w:rsidP="0074367A">
      <w:r>
        <w:t xml:space="preserve">The </w:t>
      </w:r>
      <w:r w:rsidR="00AF6026">
        <w:t>RORO</w:t>
      </w:r>
      <w:r>
        <w:t xml:space="preserve"> vessels used by the operators are well suited for the movement of time sensitive freight. Freight is unloaded within a few hours of arrival, making it possible for goods to leave Tasmania in the evening and reach their mainland destination the next day. The service provided by TT-Line is often referred to as an ‘express’ service due to its quicker travel time, departing Devonport at 7.30pm and arriving in Melbourne at 6am.</w:t>
      </w:r>
    </w:p>
    <w:p w:rsidR="001D1810" w:rsidRDefault="001D1810" w:rsidP="0074367A">
      <w:r>
        <w:lastRenderedPageBreak/>
        <w:t>Each provider operates independently using their own terminals and infrastructure. An overview of the services of the three shipping lines is provided below.</w:t>
      </w:r>
    </w:p>
    <w:p w:rsidR="001D1810" w:rsidRPr="0071599E" w:rsidRDefault="001D1810" w:rsidP="00EF4C68">
      <w:pPr>
        <w:pStyle w:val="Heading3"/>
      </w:pPr>
      <w:bookmarkStart w:id="70" w:name="_Toc367700222"/>
      <w:r w:rsidRPr="0071599E">
        <w:t>TT</w:t>
      </w:r>
      <w:r>
        <w:t>-</w:t>
      </w:r>
      <w:r w:rsidRPr="0071599E">
        <w:t>Line</w:t>
      </w:r>
      <w:bookmarkEnd w:id="70"/>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1895"/>
        <w:gridCol w:w="7144"/>
      </w:tblGrid>
      <w:tr w:rsidR="001D1810" w:rsidTr="0057495B">
        <w:trPr>
          <w:trHeight w:val="549"/>
        </w:trPr>
        <w:tc>
          <w:tcPr>
            <w:tcW w:w="1895" w:type="dxa"/>
            <w:shd w:val="clear" w:color="auto" w:fill="EFF0EF" w:themeFill="accent4"/>
            <w:vAlign w:val="center"/>
          </w:tcPr>
          <w:p w:rsidR="001D1810" w:rsidRPr="00F91EAD" w:rsidRDefault="001D1810" w:rsidP="0057495B">
            <w:pPr>
              <w:pStyle w:val="ListParagraph"/>
              <w:spacing w:before="0" w:after="0"/>
              <w:ind w:left="0" w:right="-62"/>
              <w:jc w:val="center"/>
              <w:rPr>
                <w:b/>
              </w:rPr>
            </w:pPr>
            <w:r w:rsidRPr="00F91EAD">
              <w:rPr>
                <w:b/>
              </w:rPr>
              <w:t>Observation</w:t>
            </w:r>
          </w:p>
        </w:tc>
        <w:tc>
          <w:tcPr>
            <w:tcW w:w="7144" w:type="dxa"/>
            <w:shd w:val="clear" w:color="auto" w:fill="auto"/>
            <w:vAlign w:val="center"/>
          </w:tcPr>
          <w:p w:rsidR="001D1810" w:rsidRPr="00F91EAD" w:rsidRDefault="001D1810" w:rsidP="0057495B">
            <w:pPr>
              <w:spacing w:before="0" w:after="0"/>
              <w:ind w:right="-62"/>
              <w:jc w:val="center"/>
              <w:rPr>
                <w:b/>
              </w:rPr>
            </w:pPr>
            <w:r w:rsidRPr="00F91EAD">
              <w:rPr>
                <w:b/>
              </w:rPr>
              <w:t>Comment</w:t>
            </w:r>
          </w:p>
        </w:tc>
      </w:tr>
      <w:tr w:rsidR="001D1810" w:rsidTr="0057495B">
        <w:trPr>
          <w:cnfStyle w:val="000000010000" w:firstRow="0" w:lastRow="0" w:firstColumn="0" w:lastColumn="0" w:oddVBand="0" w:evenVBand="0" w:oddHBand="0" w:evenHBand="1" w:firstRowFirstColumn="0" w:firstRowLastColumn="0" w:lastRowFirstColumn="0" w:lastRowLastColumn="0"/>
        </w:trPr>
        <w:tc>
          <w:tcPr>
            <w:tcW w:w="1895" w:type="dxa"/>
            <w:shd w:val="clear" w:color="auto" w:fill="EFF0EF" w:themeFill="accent4"/>
          </w:tcPr>
          <w:p w:rsidR="001D1810" w:rsidRPr="00767A8D" w:rsidRDefault="001D1810" w:rsidP="0057495B">
            <w:pPr>
              <w:pStyle w:val="Tables"/>
              <w:jc w:val="left"/>
              <w:rPr>
                <w:b/>
              </w:rPr>
            </w:pPr>
            <w:r>
              <w:rPr>
                <w:b/>
              </w:rPr>
              <w:t>Vessels and D</w:t>
            </w:r>
            <w:r w:rsidRPr="00767A8D">
              <w:rPr>
                <w:b/>
              </w:rPr>
              <w:t>esign</w:t>
            </w:r>
          </w:p>
        </w:tc>
        <w:tc>
          <w:tcPr>
            <w:tcW w:w="7144" w:type="dxa"/>
            <w:shd w:val="clear" w:color="auto" w:fill="auto"/>
          </w:tcPr>
          <w:p w:rsidR="001D1810" w:rsidRDefault="001D1810" w:rsidP="0057495B">
            <w:r>
              <w:t xml:space="preserve">Two </w:t>
            </w:r>
            <w:r w:rsidR="00AF6026">
              <w:t>RORO</w:t>
            </w:r>
            <w:r>
              <w:t xml:space="preserve"> vessels: Spirit of Tasmania I, Spirit of Tasmania II passenger</w:t>
            </w:r>
            <w:r w:rsidR="003925FA">
              <w:t>.</w:t>
            </w:r>
            <w:r>
              <w:t xml:space="preserve"> </w:t>
            </w:r>
          </w:p>
          <w:p w:rsidR="001D1810" w:rsidRPr="00D75FE8" w:rsidRDefault="001D1810" w:rsidP="0057495B">
            <w:r w:rsidRPr="00F91EAD">
              <w:t>Designed for the carriage of passenger</w:t>
            </w:r>
            <w:r>
              <w:t>s</w:t>
            </w:r>
            <w:r w:rsidRPr="00F91EAD">
              <w:t xml:space="preserve"> (primarily) and freight traffic</w:t>
            </w:r>
            <w:r w:rsidRPr="00D75FE8">
              <w:t>.</w:t>
            </w:r>
          </w:p>
          <w:p w:rsidR="001D1810" w:rsidRPr="00D75FE8" w:rsidRDefault="001D1810" w:rsidP="0057495B">
            <w:r w:rsidRPr="00F91EAD">
              <w:t xml:space="preserve">234 car equivalent spaces and about 175 </w:t>
            </w:r>
            <w:r>
              <w:t>TEU</w:t>
            </w:r>
            <w:r w:rsidRPr="00F91EAD">
              <w:t xml:space="preserve"> of trailer lanes</w:t>
            </w:r>
            <w:r>
              <w:t>.</w:t>
            </w:r>
            <w:r w:rsidRPr="00D75FE8">
              <w:t xml:space="preserve"> </w:t>
            </w:r>
          </w:p>
          <w:p w:rsidR="001D1810" w:rsidRDefault="001D1810" w:rsidP="0057495B">
            <w:r w:rsidRPr="00D75FE8">
              <w:t xml:space="preserve">Flexibility in terms of their vehicle deck configurations for the carriage of road freight traffic for </w:t>
            </w:r>
            <w:r w:rsidRPr="00F91EAD">
              <w:t>the carriage of road trailers</w:t>
            </w:r>
            <w:r w:rsidR="00C821C7">
              <w:t>.</w:t>
            </w:r>
            <w:r w:rsidRPr="00D75FE8">
              <w:t xml:space="preserve"> </w:t>
            </w:r>
            <w:r w:rsidR="00C821C7">
              <w:t>P</w:t>
            </w:r>
            <w:r w:rsidRPr="00F91EAD">
              <w:t xml:space="preserve">refers not to carry containers and other break-bulk </w:t>
            </w:r>
            <w:r>
              <w:t>freight.</w:t>
            </w:r>
          </w:p>
          <w:p w:rsidR="001D1810" w:rsidRPr="00D75FE8" w:rsidRDefault="001D1810" w:rsidP="0057495B">
            <w:r>
              <w:t>Stern and bow operation enables a drive through service, the vessel is also fitted with stabilisers.</w:t>
            </w:r>
          </w:p>
        </w:tc>
      </w:tr>
      <w:tr w:rsidR="001D1810" w:rsidTr="0057495B">
        <w:tc>
          <w:tcPr>
            <w:tcW w:w="1895" w:type="dxa"/>
            <w:shd w:val="clear" w:color="auto" w:fill="EFF0EF" w:themeFill="accent4"/>
          </w:tcPr>
          <w:p w:rsidR="001D1810" w:rsidRPr="00767A8D" w:rsidRDefault="001D1810" w:rsidP="0057495B">
            <w:pPr>
              <w:pStyle w:val="Tables"/>
              <w:jc w:val="left"/>
              <w:rPr>
                <w:b/>
              </w:rPr>
            </w:pPr>
            <w:r>
              <w:rPr>
                <w:b/>
              </w:rPr>
              <w:t xml:space="preserve">Port and </w:t>
            </w:r>
            <w:r w:rsidRPr="00767A8D">
              <w:rPr>
                <w:b/>
              </w:rPr>
              <w:t>Service</w:t>
            </w:r>
            <w:r>
              <w:rPr>
                <w:b/>
              </w:rPr>
              <w:t xml:space="preserve">s </w:t>
            </w:r>
          </w:p>
        </w:tc>
        <w:tc>
          <w:tcPr>
            <w:tcW w:w="7144" w:type="dxa"/>
            <w:shd w:val="clear" w:color="auto" w:fill="auto"/>
          </w:tcPr>
          <w:p w:rsidR="001D1810" w:rsidRDefault="001D1810" w:rsidP="0057495B">
            <w:r>
              <w:t>Operates between Devonport East, Tasmania and Station Pier, Victoria</w:t>
            </w:r>
            <w:r w:rsidR="003925FA">
              <w:t>.</w:t>
            </w:r>
          </w:p>
          <w:p w:rsidR="001D1810" w:rsidRDefault="001D1810" w:rsidP="0057495B">
            <w:r>
              <w:t>7 days per week service</w:t>
            </w:r>
            <w:r w:rsidR="003925FA">
              <w:t>.</w:t>
            </w:r>
          </w:p>
          <w:p w:rsidR="001D1810" w:rsidRPr="00D75FE8" w:rsidRDefault="001D1810" w:rsidP="0057495B">
            <w:r w:rsidRPr="00F91EAD">
              <w:t xml:space="preserve">Operate at a higher speed with a shorter voyage or transit time serving time sensitive </w:t>
            </w:r>
            <w:r>
              <w:t>freight</w:t>
            </w:r>
            <w:r w:rsidRPr="00F91EAD">
              <w:t xml:space="preserve"> especially chilled and frozen </w:t>
            </w:r>
            <w:r>
              <w:t>freight.</w:t>
            </w:r>
          </w:p>
          <w:p w:rsidR="001D1810" w:rsidRPr="00D75FE8" w:rsidRDefault="001D1810" w:rsidP="0057495B">
            <w:r w:rsidRPr="00F91EAD">
              <w:t>Offers “double” trips</w:t>
            </w:r>
            <w:r>
              <w:t xml:space="preserve"> (an additional daytime service) during peak times.  At these times </w:t>
            </w:r>
            <w:r w:rsidRPr="00F91EAD">
              <w:t>the ferries have to be turned around in 3 hours at the ports</w:t>
            </w:r>
            <w:r w:rsidRPr="00D75FE8">
              <w:t xml:space="preserve"> requiring efficient unloading and re-loading at the terminal</w:t>
            </w:r>
            <w:r>
              <w:t>.</w:t>
            </w:r>
          </w:p>
        </w:tc>
      </w:tr>
      <w:tr w:rsidR="001D1810" w:rsidTr="0057495B">
        <w:trPr>
          <w:cnfStyle w:val="000000010000" w:firstRow="0" w:lastRow="0" w:firstColumn="0" w:lastColumn="0" w:oddVBand="0" w:evenVBand="0" w:oddHBand="0" w:evenHBand="1" w:firstRowFirstColumn="0" w:firstRowLastColumn="0" w:lastRowFirstColumn="0" w:lastRowLastColumn="0"/>
        </w:trPr>
        <w:tc>
          <w:tcPr>
            <w:tcW w:w="1895" w:type="dxa"/>
            <w:shd w:val="clear" w:color="auto" w:fill="EFF0EF" w:themeFill="accent4"/>
          </w:tcPr>
          <w:p w:rsidR="001D1810" w:rsidRPr="00767A8D" w:rsidRDefault="001D1810" w:rsidP="0057495B">
            <w:pPr>
              <w:pStyle w:val="Tables"/>
              <w:rPr>
                <w:b/>
              </w:rPr>
            </w:pPr>
            <w:r w:rsidRPr="00767A8D">
              <w:rPr>
                <w:b/>
              </w:rPr>
              <w:t>Business</w:t>
            </w:r>
          </w:p>
        </w:tc>
        <w:tc>
          <w:tcPr>
            <w:tcW w:w="7144" w:type="dxa"/>
            <w:shd w:val="clear" w:color="auto" w:fill="auto"/>
          </w:tcPr>
          <w:p w:rsidR="001D1810" w:rsidRPr="00D75FE8" w:rsidRDefault="001D1810" w:rsidP="0057495B">
            <w:r w:rsidRPr="00D75FE8">
              <w:t xml:space="preserve">Freight business contributes around </w:t>
            </w:r>
            <w:r w:rsidRPr="00F91EAD">
              <w:t>40% of the company’s revenue</w:t>
            </w:r>
            <w:r>
              <w:t>.</w:t>
            </w:r>
          </w:p>
          <w:p w:rsidR="001D1810" w:rsidRPr="00D75FE8" w:rsidRDefault="001D1810" w:rsidP="0057495B">
            <w:r w:rsidRPr="00F91EAD">
              <w:t>Crew of around 75 persons</w:t>
            </w:r>
            <w:r>
              <w:t>.  Vessels r</w:t>
            </w:r>
            <w:r w:rsidRPr="00D75FE8">
              <w:t>elatively new at around 15 years old</w:t>
            </w:r>
            <w:r>
              <w:t>.</w:t>
            </w:r>
          </w:p>
          <w:p w:rsidR="001D1810" w:rsidRPr="00D75FE8" w:rsidRDefault="001D1810" w:rsidP="0057495B">
            <w:pPr>
              <w:keepNext/>
              <w:ind w:right="-64"/>
            </w:pPr>
            <w:r w:rsidRPr="00F91EAD">
              <w:t>Market share of 21%</w:t>
            </w:r>
            <w:r w:rsidRPr="00D75FE8">
              <w:t xml:space="preserve"> moving around </w:t>
            </w:r>
            <w:r w:rsidRPr="00F91EAD">
              <w:t xml:space="preserve">95,000 </w:t>
            </w:r>
            <w:r>
              <w:t>TEU</w:t>
            </w:r>
            <w:r w:rsidRPr="00F91EAD">
              <w:t xml:space="preserve"> per annum</w:t>
            </w:r>
            <w:r>
              <w:t>.</w:t>
            </w:r>
          </w:p>
        </w:tc>
      </w:tr>
    </w:tbl>
    <w:p w:rsidR="001D1810" w:rsidRDefault="001D1810" w:rsidP="001D1810">
      <w:pPr>
        <w:pStyle w:val="Caption"/>
      </w:pPr>
      <w:bookmarkStart w:id="71" w:name="_Ref366766087"/>
      <w:bookmarkStart w:id="72" w:name="_Toc358297660"/>
      <w:bookmarkStart w:id="73" w:name="_Toc364161821"/>
      <w:bookmarkStart w:id="74" w:name="_Toc366769118"/>
      <w:r>
        <w:t xml:space="preserve">Table </w:t>
      </w:r>
      <w:r w:rsidR="00CA7023">
        <w:fldChar w:fldCharType="begin"/>
      </w:r>
      <w:r w:rsidR="009A1986">
        <w:instrText xml:space="preserve"> SEQ Table \* ARABIC </w:instrText>
      </w:r>
      <w:r w:rsidR="00CA7023">
        <w:fldChar w:fldCharType="separate"/>
      </w:r>
      <w:r w:rsidR="00FF5EB2">
        <w:rPr>
          <w:noProof/>
        </w:rPr>
        <w:t>1</w:t>
      </w:r>
      <w:r w:rsidR="00CA7023">
        <w:fldChar w:fldCharType="end"/>
      </w:r>
      <w:bookmarkEnd w:id="71"/>
      <w:r>
        <w:t>: TT-Line</w:t>
      </w:r>
      <w:bookmarkEnd w:id="72"/>
      <w:bookmarkEnd w:id="73"/>
      <w:bookmarkEnd w:id="74"/>
    </w:p>
    <w:p w:rsidR="00C821C7" w:rsidRDefault="00C821C7">
      <w:pPr>
        <w:spacing w:after="200"/>
        <w:jc w:val="left"/>
        <w:rPr>
          <w:rFonts w:asciiTheme="majorHAnsi" w:hAnsiTheme="majorHAnsi" w:cstheme="majorHAnsi"/>
          <w:b/>
          <w:color w:val="353D30" w:themeColor="text1"/>
          <w:sz w:val="28"/>
          <w:szCs w:val="22"/>
        </w:rPr>
      </w:pPr>
      <w:r>
        <w:br w:type="page"/>
      </w:r>
    </w:p>
    <w:p w:rsidR="001D1810" w:rsidRPr="0071599E" w:rsidRDefault="001D1810" w:rsidP="00EF4C68">
      <w:pPr>
        <w:pStyle w:val="Heading3"/>
      </w:pPr>
      <w:bookmarkStart w:id="75" w:name="_Toc367700223"/>
      <w:r w:rsidRPr="0071599E">
        <w:lastRenderedPageBreak/>
        <w:t>SeaRoad</w:t>
      </w:r>
      <w:r>
        <w:t xml:space="preserve"> Shipping</w:t>
      </w:r>
      <w:bookmarkEnd w:id="75"/>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1951"/>
        <w:gridCol w:w="7336"/>
      </w:tblGrid>
      <w:tr w:rsidR="001D1810" w:rsidTr="0057495B">
        <w:trPr>
          <w:trHeight w:val="559"/>
        </w:trPr>
        <w:tc>
          <w:tcPr>
            <w:tcW w:w="1951" w:type="dxa"/>
            <w:shd w:val="clear" w:color="auto" w:fill="EFF0EF" w:themeFill="accent4"/>
            <w:vAlign w:val="center"/>
          </w:tcPr>
          <w:p w:rsidR="001D1810" w:rsidRPr="00F91EAD" w:rsidRDefault="001D1810" w:rsidP="0057495B">
            <w:pPr>
              <w:pStyle w:val="ListParagraph"/>
              <w:spacing w:before="0" w:after="0"/>
              <w:ind w:left="0" w:right="-62"/>
              <w:jc w:val="center"/>
              <w:rPr>
                <w:b/>
              </w:rPr>
            </w:pPr>
            <w:r w:rsidRPr="00F91EAD">
              <w:rPr>
                <w:b/>
              </w:rPr>
              <w:t>Observation</w:t>
            </w:r>
          </w:p>
        </w:tc>
        <w:tc>
          <w:tcPr>
            <w:tcW w:w="7336" w:type="dxa"/>
            <w:shd w:val="clear" w:color="auto" w:fill="auto"/>
            <w:vAlign w:val="center"/>
          </w:tcPr>
          <w:p w:rsidR="001D1810" w:rsidRPr="00F91EAD" w:rsidRDefault="001D1810" w:rsidP="0057495B">
            <w:pPr>
              <w:spacing w:before="0" w:after="0"/>
              <w:ind w:right="-62"/>
              <w:jc w:val="center"/>
              <w:rPr>
                <w:b/>
              </w:rPr>
            </w:pPr>
            <w:r w:rsidRPr="00F91EAD">
              <w:rPr>
                <w:b/>
              </w:rPr>
              <w:t>Comment</w:t>
            </w:r>
          </w:p>
        </w:tc>
      </w:tr>
      <w:tr w:rsidR="001D1810" w:rsidTr="0057495B">
        <w:trPr>
          <w:cnfStyle w:val="000000010000" w:firstRow="0" w:lastRow="0" w:firstColumn="0" w:lastColumn="0" w:oddVBand="0" w:evenVBand="0" w:oddHBand="0" w:evenHBand="1" w:firstRowFirstColumn="0" w:firstRowLastColumn="0" w:lastRowFirstColumn="0" w:lastRowLastColumn="0"/>
        </w:trPr>
        <w:tc>
          <w:tcPr>
            <w:tcW w:w="1951" w:type="dxa"/>
            <w:shd w:val="clear" w:color="auto" w:fill="EFF0EF" w:themeFill="accent4"/>
          </w:tcPr>
          <w:p w:rsidR="001D1810" w:rsidRPr="00767A8D" w:rsidRDefault="001D1810" w:rsidP="0057495B">
            <w:pPr>
              <w:pStyle w:val="Tables"/>
              <w:jc w:val="left"/>
              <w:rPr>
                <w:b/>
              </w:rPr>
            </w:pPr>
            <w:r>
              <w:rPr>
                <w:b/>
              </w:rPr>
              <w:t>Vessels and D</w:t>
            </w:r>
            <w:r w:rsidRPr="00767A8D">
              <w:rPr>
                <w:b/>
              </w:rPr>
              <w:t>esign</w:t>
            </w:r>
          </w:p>
        </w:tc>
        <w:tc>
          <w:tcPr>
            <w:tcW w:w="7336" w:type="dxa"/>
            <w:shd w:val="clear" w:color="auto" w:fill="auto"/>
          </w:tcPr>
          <w:p w:rsidR="001D1810" w:rsidRDefault="001D1810" w:rsidP="0057495B">
            <w:r>
              <w:t xml:space="preserve">Two </w:t>
            </w:r>
            <w:r w:rsidR="00AF6026">
              <w:t>RORO</w:t>
            </w:r>
            <w:r>
              <w:t xml:space="preserve"> vessels; MV SeaRoad Tamar, MV SeaRoad Mersey</w:t>
            </w:r>
            <w:r w:rsidR="003925FA">
              <w:t>.</w:t>
            </w:r>
          </w:p>
          <w:p w:rsidR="001D1810" w:rsidRDefault="001D1810" w:rsidP="0057495B">
            <w:r>
              <w:t>Designed for carriage of mixed freight.</w:t>
            </w:r>
          </w:p>
          <w:p w:rsidR="001D1810" w:rsidRDefault="001D1810" w:rsidP="0057495B">
            <w:r>
              <w:t xml:space="preserve">The vessels use a system of “cassettes” onto which containers and other break-bulk freight are loaded. The cassettes are towed onto and off the vessel using special tractors that are able to lift these cassettes hydraulically and position them on to the vessel. </w:t>
            </w:r>
          </w:p>
          <w:p w:rsidR="001D1810" w:rsidRPr="00D75FE8" w:rsidRDefault="001D1810" w:rsidP="0057495B">
            <w:r>
              <w:t>The vessels have 33 cassettes in their main decks and carry road trailers on the upper deck.</w:t>
            </w:r>
          </w:p>
        </w:tc>
      </w:tr>
      <w:tr w:rsidR="001D1810" w:rsidTr="0057495B">
        <w:tc>
          <w:tcPr>
            <w:tcW w:w="1951" w:type="dxa"/>
            <w:shd w:val="clear" w:color="auto" w:fill="EFF0EF" w:themeFill="accent4"/>
          </w:tcPr>
          <w:p w:rsidR="001D1810" w:rsidRPr="00767A8D" w:rsidRDefault="001D1810" w:rsidP="0057495B">
            <w:pPr>
              <w:pStyle w:val="Tables"/>
              <w:rPr>
                <w:b/>
              </w:rPr>
            </w:pPr>
            <w:r>
              <w:rPr>
                <w:b/>
              </w:rPr>
              <w:t xml:space="preserve">Port and </w:t>
            </w:r>
            <w:r w:rsidRPr="00767A8D">
              <w:rPr>
                <w:b/>
              </w:rPr>
              <w:t>Service</w:t>
            </w:r>
            <w:r>
              <w:rPr>
                <w:b/>
              </w:rPr>
              <w:t>s</w:t>
            </w:r>
          </w:p>
        </w:tc>
        <w:tc>
          <w:tcPr>
            <w:tcW w:w="7336" w:type="dxa"/>
            <w:shd w:val="clear" w:color="auto" w:fill="auto"/>
          </w:tcPr>
          <w:p w:rsidR="001D1810" w:rsidRDefault="001D1810" w:rsidP="0057495B">
            <w:r>
              <w:t>Operates between Devonport East, Tasmania and Webb Dock East No 1, Port of Melbourne</w:t>
            </w:r>
            <w:r w:rsidR="003925FA">
              <w:t>.</w:t>
            </w:r>
            <w:r>
              <w:t xml:space="preserve"> </w:t>
            </w:r>
          </w:p>
          <w:p w:rsidR="001D1810" w:rsidRDefault="001D1810" w:rsidP="0057495B">
            <w:r>
              <w:t>6 days</w:t>
            </w:r>
            <w:r w:rsidRPr="00F91EAD">
              <w:t xml:space="preserve"> per week</w:t>
            </w:r>
            <w:r>
              <w:t xml:space="preserve"> service and a weekly service that calls at King Island (SeaRoad Mersey).</w:t>
            </w:r>
          </w:p>
          <w:p w:rsidR="001D1810" w:rsidRDefault="001D1810" w:rsidP="0057495B">
            <w:r>
              <w:t xml:space="preserve">Carry break-bulk, general and refrigerated containerized freight (stowed on the vessel) and road trailers of various types and lengths. Containers and other freight can be stored with a minimum of space being wasted. </w:t>
            </w:r>
          </w:p>
          <w:p w:rsidR="001D1810" w:rsidRDefault="001D1810" w:rsidP="0057495B">
            <w:r>
              <w:t>Inbound trade is largely general freight, fertilisers, dangerous goods and road and mining equipment.</w:t>
            </w:r>
          </w:p>
          <w:p w:rsidR="001D1810" w:rsidRPr="00F91EAD" w:rsidRDefault="001D1810" w:rsidP="0057495B">
            <w:r>
              <w:t>Outbound freight is largely agricultural products, live cattle and sheep.</w:t>
            </w:r>
          </w:p>
        </w:tc>
      </w:tr>
      <w:tr w:rsidR="001D1810" w:rsidTr="0057495B">
        <w:trPr>
          <w:cnfStyle w:val="000000010000" w:firstRow="0" w:lastRow="0" w:firstColumn="0" w:lastColumn="0" w:oddVBand="0" w:evenVBand="0" w:oddHBand="0" w:evenHBand="1" w:firstRowFirstColumn="0" w:firstRowLastColumn="0" w:lastRowFirstColumn="0" w:lastRowLastColumn="0"/>
        </w:trPr>
        <w:tc>
          <w:tcPr>
            <w:tcW w:w="1951" w:type="dxa"/>
            <w:shd w:val="clear" w:color="auto" w:fill="EFF0EF" w:themeFill="accent4"/>
          </w:tcPr>
          <w:p w:rsidR="001D1810" w:rsidRPr="00767A8D" w:rsidRDefault="001D1810" w:rsidP="0057495B">
            <w:pPr>
              <w:pStyle w:val="Tables"/>
              <w:rPr>
                <w:b/>
              </w:rPr>
            </w:pPr>
            <w:r w:rsidRPr="00767A8D">
              <w:rPr>
                <w:b/>
              </w:rPr>
              <w:t>Business</w:t>
            </w:r>
          </w:p>
        </w:tc>
        <w:tc>
          <w:tcPr>
            <w:tcW w:w="7336" w:type="dxa"/>
            <w:shd w:val="clear" w:color="auto" w:fill="auto"/>
          </w:tcPr>
          <w:p w:rsidR="001D1810" w:rsidRDefault="001D1810" w:rsidP="0057495B">
            <w:r>
              <w:t>The company also offers a range of associated logistics and freight forwarding services.</w:t>
            </w:r>
          </w:p>
          <w:p w:rsidR="001D1810" w:rsidRDefault="001D1810" w:rsidP="0057495B">
            <w:r>
              <w:t xml:space="preserve">Vessels are more than 20 years old and the company is considering options to replace. </w:t>
            </w:r>
          </w:p>
          <w:p w:rsidR="001D1810" w:rsidRPr="00D75FE8" w:rsidRDefault="001D1810" w:rsidP="00C821C7">
            <w:r w:rsidRPr="00D75FE8">
              <w:t>Market share of 2</w:t>
            </w:r>
            <w:r>
              <w:t>5</w:t>
            </w:r>
            <w:r w:rsidRPr="00D75FE8">
              <w:t xml:space="preserve">% moving around 105,000 </w:t>
            </w:r>
            <w:r>
              <w:t>TEU</w:t>
            </w:r>
            <w:r w:rsidRPr="00D75FE8">
              <w:t xml:space="preserve"> per annum</w:t>
            </w:r>
            <w:r>
              <w:t>.</w:t>
            </w:r>
          </w:p>
        </w:tc>
      </w:tr>
    </w:tbl>
    <w:p w:rsidR="001D1810" w:rsidRDefault="001D1810" w:rsidP="001D1810">
      <w:pPr>
        <w:pStyle w:val="Caption"/>
      </w:pPr>
      <w:bookmarkStart w:id="76" w:name="_Toc358297661"/>
      <w:bookmarkStart w:id="77" w:name="_Toc364161822"/>
      <w:bookmarkStart w:id="78" w:name="_Toc366769119"/>
      <w:r>
        <w:t xml:space="preserve">Table </w:t>
      </w:r>
      <w:r w:rsidR="00CA7023">
        <w:fldChar w:fldCharType="begin"/>
      </w:r>
      <w:r w:rsidR="009A1986">
        <w:instrText xml:space="preserve"> SEQ Table \* ARABIC </w:instrText>
      </w:r>
      <w:r w:rsidR="00CA7023">
        <w:fldChar w:fldCharType="separate"/>
      </w:r>
      <w:r w:rsidR="00FF5EB2">
        <w:rPr>
          <w:noProof/>
        </w:rPr>
        <w:t>2</w:t>
      </w:r>
      <w:r w:rsidR="00CA7023">
        <w:fldChar w:fldCharType="end"/>
      </w:r>
      <w:r>
        <w:t>: SeaRoad</w:t>
      </w:r>
      <w:bookmarkEnd w:id="76"/>
      <w:r>
        <w:t xml:space="preserve"> Shipping</w:t>
      </w:r>
      <w:bookmarkEnd w:id="77"/>
      <w:bookmarkEnd w:id="78"/>
    </w:p>
    <w:p w:rsidR="001D1810" w:rsidRDefault="001D1810" w:rsidP="001D1810">
      <w:pPr>
        <w:spacing w:after="200"/>
        <w:jc w:val="left"/>
      </w:pPr>
    </w:p>
    <w:p w:rsidR="001D1810" w:rsidRDefault="001D1810" w:rsidP="001D1810">
      <w:pPr>
        <w:spacing w:after="200"/>
        <w:jc w:val="left"/>
      </w:pPr>
      <w:r>
        <w:br w:type="page"/>
      </w:r>
    </w:p>
    <w:p w:rsidR="001D1810" w:rsidRDefault="001D1810" w:rsidP="00EF4C68">
      <w:pPr>
        <w:pStyle w:val="Heading3"/>
      </w:pPr>
      <w:bookmarkStart w:id="79" w:name="_Toc367700224"/>
      <w:r>
        <w:lastRenderedPageBreak/>
        <w:t>Toll-ANL</w:t>
      </w:r>
      <w:bookmarkEnd w:id="79"/>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1951"/>
        <w:gridCol w:w="7336"/>
      </w:tblGrid>
      <w:tr w:rsidR="001D1810" w:rsidTr="0057495B">
        <w:trPr>
          <w:trHeight w:val="607"/>
        </w:trPr>
        <w:tc>
          <w:tcPr>
            <w:tcW w:w="1951" w:type="dxa"/>
            <w:shd w:val="clear" w:color="auto" w:fill="EFF0EF" w:themeFill="accent4"/>
            <w:vAlign w:val="center"/>
          </w:tcPr>
          <w:p w:rsidR="001D1810" w:rsidRPr="00F91EAD" w:rsidRDefault="001D1810" w:rsidP="0057495B">
            <w:pPr>
              <w:pStyle w:val="ListParagraph"/>
              <w:spacing w:before="0" w:after="0"/>
              <w:ind w:left="0" w:right="-62"/>
              <w:jc w:val="center"/>
              <w:rPr>
                <w:b/>
              </w:rPr>
            </w:pPr>
            <w:r w:rsidRPr="00F91EAD">
              <w:rPr>
                <w:b/>
              </w:rPr>
              <w:t>Observation</w:t>
            </w:r>
          </w:p>
        </w:tc>
        <w:tc>
          <w:tcPr>
            <w:tcW w:w="7336" w:type="dxa"/>
            <w:shd w:val="clear" w:color="auto" w:fill="auto"/>
            <w:vAlign w:val="center"/>
          </w:tcPr>
          <w:p w:rsidR="001D1810" w:rsidRPr="00F91EAD" w:rsidRDefault="001D1810" w:rsidP="0057495B">
            <w:pPr>
              <w:spacing w:before="0" w:after="0"/>
              <w:ind w:right="-62"/>
              <w:jc w:val="center"/>
              <w:rPr>
                <w:b/>
              </w:rPr>
            </w:pPr>
            <w:r w:rsidRPr="00F91EAD">
              <w:rPr>
                <w:b/>
              </w:rPr>
              <w:t>Comment</w:t>
            </w:r>
          </w:p>
        </w:tc>
      </w:tr>
      <w:tr w:rsidR="001D1810" w:rsidTr="0057495B">
        <w:trPr>
          <w:cnfStyle w:val="000000010000" w:firstRow="0" w:lastRow="0" w:firstColumn="0" w:lastColumn="0" w:oddVBand="0" w:evenVBand="0" w:oddHBand="0" w:evenHBand="1" w:firstRowFirstColumn="0" w:firstRowLastColumn="0" w:lastRowFirstColumn="0" w:lastRowLastColumn="0"/>
        </w:trPr>
        <w:tc>
          <w:tcPr>
            <w:tcW w:w="1951" w:type="dxa"/>
            <w:shd w:val="clear" w:color="auto" w:fill="EFF0EF" w:themeFill="accent4"/>
          </w:tcPr>
          <w:p w:rsidR="001D1810" w:rsidRPr="00767A8D" w:rsidRDefault="001D1810" w:rsidP="0057495B">
            <w:pPr>
              <w:pStyle w:val="Tables"/>
              <w:jc w:val="left"/>
              <w:rPr>
                <w:b/>
              </w:rPr>
            </w:pPr>
            <w:r>
              <w:rPr>
                <w:b/>
              </w:rPr>
              <w:t>Vessels and D</w:t>
            </w:r>
            <w:r w:rsidRPr="00767A8D">
              <w:rPr>
                <w:b/>
              </w:rPr>
              <w:t>esign</w:t>
            </w:r>
          </w:p>
        </w:tc>
        <w:tc>
          <w:tcPr>
            <w:tcW w:w="7336" w:type="dxa"/>
            <w:shd w:val="clear" w:color="auto" w:fill="auto"/>
          </w:tcPr>
          <w:p w:rsidR="001D1810" w:rsidRDefault="001D1810" w:rsidP="00AF6026">
            <w:pPr>
              <w:rPr>
                <w:rFonts w:eastAsiaTheme="majorEastAsia"/>
                <w:b/>
                <w:bCs/>
                <w:color w:val="7AB800" w:themeColor="accent1"/>
              </w:rPr>
            </w:pPr>
            <w:r>
              <w:t xml:space="preserve">Two </w:t>
            </w:r>
            <w:r w:rsidR="00AF6026">
              <w:t>RORO</w:t>
            </w:r>
            <w:r>
              <w:t xml:space="preserve"> vessels: MV Tasmanian Achiever, MV Victorian Reliance</w:t>
            </w:r>
            <w:r w:rsidR="003925FA">
              <w:t>.</w:t>
            </w:r>
          </w:p>
          <w:p w:rsidR="001D1810" w:rsidRDefault="001D1810" w:rsidP="00AF6026">
            <w:pPr>
              <w:rPr>
                <w:rFonts w:eastAsiaTheme="majorEastAsia"/>
                <w:b/>
                <w:bCs/>
                <w:color w:val="7AB800" w:themeColor="accent1"/>
              </w:rPr>
            </w:pPr>
            <w:r>
              <w:t>Use a system of “Mafi” trailers onto which they load containers and which are then loaded onto the vessels. This system offers them an ability to place more containers onto the vessel and also pre-loads and secures them onto the Mafi trailers before the vessel arrives in port.</w:t>
            </w:r>
          </w:p>
          <w:p w:rsidR="001D1810" w:rsidRPr="00F91EAD" w:rsidRDefault="001D1810" w:rsidP="00AF6026">
            <w:pPr>
              <w:rPr>
                <w:rFonts w:eastAsiaTheme="majorEastAsia"/>
                <w:b/>
                <w:bCs/>
                <w:color w:val="7AB800" w:themeColor="accent1"/>
              </w:rPr>
            </w:pPr>
            <w:r>
              <w:t>They can carry a variety of break-bulk freight and road trailers including chilled and refrigerated containers and trailers.</w:t>
            </w:r>
          </w:p>
        </w:tc>
      </w:tr>
      <w:tr w:rsidR="001D1810" w:rsidTr="0057495B">
        <w:tc>
          <w:tcPr>
            <w:tcW w:w="1951" w:type="dxa"/>
            <w:shd w:val="clear" w:color="auto" w:fill="EFF0EF" w:themeFill="accent4"/>
          </w:tcPr>
          <w:p w:rsidR="001D1810" w:rsidRPr="00767A8D" w:rsidRDefault="001D1810" w:rsidP="0057495B">
            <w:pPr>
              <w:pStyle w:val="Tables"/>
              <w:rPr>
                <w:b/>
              </w:rPr>
            </w:pPr>
            <w:r>
              <w:rPr>
                <w:b/>
              </w:rPr>
              <w:t xml:space="preserve">Port and </w:t>
            </w:r>
            <w:r w:rsidRPr="00767A8D">
              <w:rPr>
                <w:b/>
              </w:rPr>
              <w:t>Service</w:t>
            </w:r>
            <w:r>
              <w:rPr>
                <w:b/>
              </w:rPr>
              <w:t>s</w:t>
            </w:r>
          </w:p>
        </w:tc>
        <w:tc>
          <w:tcPr>
            <w:tcW w:w="7336" w:type="dxa"/>
            <w:shd w:val="clear" w:color="auto" w:fill="auto"/>
          </w:tcPr>
          <w:p w:rsidR="001D1810" w:rsidRDefault="001D1810" w:rsidP="00AF6026">
            <w:pPr>
              <w:rPr>
                <w:rFonts w:eastAsiaTheme="majorEastAsia"/>
                <w:b/>
                <w:bCs/>
                <w:color w:val="7AB800" w:themeColor="accent1"/>
              </w:rPr>
            </w:pPr>
            <w:r>
              <w:t>Operates between Port of Burnie, Tasmania and Webb Dock East No 2, Port of Melbourne</w:t>
            </w:r>
            <w:r w:rsidR="003925FA">
              <w:t>.</w:t>
            </w:r>
          </w:p>
          <w:p w:rsidR="001D1810" w:rsidRDefault="001D1810" w:rsidP="00AF6026">
            <w:pPr>
              <w:rPr>
                <w:rFonts w:eastAsiaTheme="majorEastAsia"/>
                <w:b/>
                <w:bCs/>
                <w:color w:val="7AB800" w:themeColor="accent1"/>
              </w:rPr>
            </w:pPr>
            <w:r>
              <w:t>6</w:t>
            </w:r>
            <w:r w:rsidRPr="00D75FE8">
              <w:t xml:space="preserve"> </w:t>
            </w:r>
            <w:r>
              <w:t>days per week service.</w:t>
            </w:r>
          </w:p>
          <w:p w:rsidR="001D1810" w:rsidRDefault="001D1810" w:rsidP="00AF6026">
            <w:pPr>
              <w:rPr>
                <w:rFonts w:eastAsiaTheme="majorEastAsia"/>
                <w:b/>
                <w:bCs/>
                <w:color w:val="7AB800" w:themeColor="accent1"/>
              </w:rPr>
            </w:pPr>
            <w:r>
              <w:t xml:space="preserve">The vessels are flexible in their ability to carry various configurations of freight e.g. break-bulk, general purpose containers, refrigerated containers, road trailers etc., and also carry over dimensional freight (ODs). </w:t>
            </w:r>
          </w:p>
          <w:p w:rsidR="001D1810" w:rsidRPr="00D75FE8" w:rsidRDefault="001D1810" w:rsidP="00AF6026">
            <w:pPr>
              <w:rPr>
                <w:rFonts w:eastAsiaTheme="majorEastAsia"/>
                <w:b/>
                <w:bCs/>
                <w:color w:val="7AB800" w:themeColor="accent1"/>
              </w:rPr>
            </w:pPr>
            <w:r>
              <w:t xml:space="preserve">The design reduces the time required for loading and unloading of the vessel. </w:t>
            </w:r>
          </w:p>
        </w:tc>
      </w:tr>
      <w:tr w:rsidR="001D1810" w:rsidTr="0057495B">
        <w:trPr>
          <w:cnfStyle w:val="000000010000" w:firstRow="0" w:lastRow="0" w:firstColumn="0" w:lastColumn="0" w:oddVBand="0" w:evenVBand="0" w:oddHBand="0" w:evenHBand="1" w:firstRowFirstColumn="0" w:firstRowLastColumn="0" w:lastRowFirstColumn="0" w:lastRowLastColumn="0"/>
        </w:trPr>
        <w:tc>
          <w:tcPr>
            <w:tcW w:w="1951" w:type="dxa"/>
            <w:shd w:val="clear" w:color="auto" w:fill="EFF0EF" w:themeFill="accent4"/>
          </w:tcPr>
          <w:p w:rsidR="001D1810" w:rsidRPr="00767A8D" w:rsidRDefault="001D1810" w:rsidP="0057495B">
            <w:pPr>
              <w:pStyle w:val="Tables"/>
              <w:rPr>
                <w:b/>
              </w:rPr>
            </w:pPr>
            <w:r w:rsidRPr="00767A8D">
              <w:rPr>
                <w:b/>
              </w:rPr>
              <w:t>Business</w:t>
            </w:r>
          </w:p>
        </w:tc>
        <w:tc>
          <w:tcPr>
            <w:tcW w:w="7336" w:type="dxa"/>
            <w:shd w:val="clear" w:color="auto" w:fill="auto"/>
          </w:tcPr>
          <w:p w:rsidR="001D1810" w:rsidRDefault="001D1810" w:rsidP="00AF6026">
            <w:pPr>
              <w:rPr>
                <w:rFonts w:eastAsiaTheme="majorEastAsia"/>
                <w:b/>
                <w:bCs/>
                <w:color w:val="7AB800" w:themeColor="accent1"/>
              </w:rPr>
            </w:pPr>
            <w:bookmarkStart w:id="80" w:name="_Toc357761386"/>
            <w:bookmarkStart w:id="81" w:name="_Toc358228798"/>
            <w:bookmarkStart w:id="82" w:name="_Toc358361295"/>
            <w:r>
              <w:t>Toll also offers a range of associated logistics and freight forwarding services.</w:t>
            </w:r>
          </w:p>
          <w:bookmarkEnd w:id="80"/>
          <w:bookmarkEnd w:id="81"/>
          <w:bookmarkEnd w:id="82"/>
          <w:p w:rsidR="001D1810" w:rsidRDefault="001D1810" w:rsidP="00AF6026">
            <w:pPr>
              <w:rPr>
                <w:rFonts w:eastAsiaTheme="majorEastAsia"/>
                <w:b/>
                <w:bCs/>
                <w:color w:val="7AB800" w:themeColor="accent1"/>
              </w:rPr>
            </w:pPr>
            <w:r w:rsidRPr="005F7F0A">
              <w:t>The Tasmanian Achiever and Victorian Reliance</w:t>
            </w:r>
            <w:r>
              <w:t xml:space="preserve"> were built in 1999, making them 14 years old.</w:t>
            </w:r>
          </w:p>
          <w:p w:rsidR="001D1810" w:rsidRPr="00F91EAD" w:rsidRDefault="001D1810" w:rsidP="00AF6026">
            <w:pPr>
              <w:rPr>
                <w:rFonts w:eastAsiaTheme="majorEastAsia"/>
                <w:b/>
                <w:bCs/>
                <w:color w:val="7AB800" w:themeColor="accent1"/>
                <w:highlight w:val="yellow"/>
              </w:rPr>
            </w:pPr>
            <w:r>
              <w:t>Market share of approximately 54% moving 240,000 TEU per annum.</w:t>
            </w:r>
          </w:p>
        </w:tc>
      </w:tr>
    </w:tbl>
    <w:p w:rsidR="001D1810" w:rsidRDefault="001D1810" w:rsidP="001D1810">
      <w:pPr>
        <w:pStyle w:val="Caption"/>
      </w:pPr>
      <w:bookmarkStart w:id="83" w:name="_Toc357761387"/>
      <w:bookmarkStart w:id="84" w:name="_Toc357761388"/>
      <w:bookmarkStart w:id="85" w:name="_Toc357761389"/>
      <w:bookmarkStart w:id="86" w:name="_Toc357761390"/>
      <w:bookmarkStart w:id="87" w:name="_Toc357761391"/>
      <w:bookmarkStart w:id="88" w:name="_Toc358297662"/>
      <w:bookmarkStart w:id="89" w:name="_Toc364161823"/>
      <w:bookmarkStart w:id="90" w:name="_Toc366769120"/>
      <w:bookmarkStart w:id="91" w:name="_Toc357761392"/>
      <w:bookmarkEnd w:id="83"/>
      <w:bookmarkEnd w:id="84"/>
      <w:bookmarkEnd w:id="85"/>
      <w:bookmarkEnd w:id="86"/>
      <w:bookmarkEnd w:id="87"/>
      <w:r>
        <w:t xml:space="preserve">Table </w:t>
      </w:r>
      <w:r w:rsidR="00CA7023">
        <w:fldChar w:fldCharType="begin"/>
      </w:r>
      <w:r w:rsidR="009A1986">
        <w:instrText xml:space="preserve"> SEQ Table \* ARABIC </w:instrText>
      </w:r>
      <w:r w:rsidR="00CA7023">
        <w:fldChar w:fldCharType="separate"/>
      </w:r>
      <w:r w:rsidR="00FF5EB2">
        <w:rPr>
          <w:noProof/>
        </w:rPr>
        <w:t>3</w:t>
      </w:r>
      <w:r w:rsidR="00CA7023">
        <w:fldChar w:fldCharType="end"/>
      </w:r>
      <w:r>
        <w:t>: Toll-ANL</w:t>
      </w:r>
      <w:bookmarkEnd w:id="88"/>
      <w:bookmarkEnd w:id="89"/>
      <w:bookmarkEnd w:id="90"/>
    </w:p>
    <w:p w:rsidR="001D1810" w:rsidRDefault="001D1810" w:rsidP="008B6FC3">
      <w:pPr>
        <w:pStyle w:val="Heading2"/>
      </w:pPr>
      <w:bookmarkStart w:id="92" w:name="_Toc358228799"/>
      <w:bookmarkStart w:id="93" w:name="_Toc358361296"/>
      <w:bookmarkStart w:id="94" w:name="_Toc364154086"/>
      <w:bookmarkStart w:id="95" w:name="_Toc367700225"/>
      <w:r w:rsidRPr="00B37BE6">
        <w:t xml:space="preserve">Features of Bass Strait </w:t>
      </w:r>
      <w:r>
        <w:t>Shipping</w:t>
      </w:r>
      <w:r w:rsidRPr="00B37BE6">
        <w:t xml:space="preserve"> </w:t>
      </w:r>
      <w:r>
        <w:t>S</w:t>
      </w:r>
      <w:r w:rsidRPr="00B37BE6">
        <w:t>ervices</w:t>
      </w:r>
      <w:bookmarkEnd w:id="91"/>
      <w:bookmarkEnd w:id="92"/>
      <w:bookmarkEnd w:id="93"/>
      <w:bookmarkEnd w:id="94"/>
      <w:bookmarkEnd w:id="95"/>
    </w:p>
    <w:p w:rsidR="001D1810" w:rsidRPr="00FB31A2" w:rsidRDefault="001D1810" w:rsidP="00EF4C68">
      <w:pPr>
        <w:pStyle w:val="Heading3"/>
      </w:pPr>
      <w:r w:rsidRPr="00FB31A2">
        <w:t xml:space="preserve"> </w:t>
      </w:r>
      <w:bookmarkStart w:id="96" w:name="_Toc367700226"/>
      <w:r w:rsidRPr="00FB31A2">
        <w:t xml:space="preserve">Overnight </w:t>
      </w:r>
      <w:r w:rsidR="003925FA">
        <w:t>S</w:t>
      </w:r>
      <w:r w:rsidRPr="00FB31A2">
        <w:t>ervices</w:t>
      </w:r>
      <w:bookmarkEnd w:id="96"/>
    </w:p>
    <w:p w:rsidR="001D1810" w:rsidRDefault="001D1810" w:rsidP="0074367A">
      <w:r>
        <w:t>The most important feature of Bass Strait services is that each operator provides an overnight outbound service which integrates with road transport</w:t>
      </w:r>
      <w:r w:rsidR="00C821C7">
        <w:t>,</w:t>
      </w:r>
      <w:r>
        <w:t xml:space="preserve"> allowing day time deliveries to mainland destinations. Many businesses have designed their supply chains around this aspect of the shipping services. </w:t>
      </w:r>
    </w:p>
    <w:p w:rsidR="001D1810" w:rsidRDefault="001D1810" w:rsidP="0074367A">
      <w:r>
        <w:t xml:space="preserve">Freight users and forwarders deliver their containers or trailers to the outbound terminals in the afternoon on any weekday and the freight is able to be collected from PoM the next morning and moved to the end destination or intermediate e.g. warehouse by late morning the day after leaving Tasmania. </w:t>
      </w:r>
    </w:p>
    <w:p w:rsidR="001D1810" w:rsidRDefault="001D1810" w:rsidP="0074367A">
      <w:r>
        <w:t>This is an important feature for food and agricultural products and particularly fresh and refrigerated seafood and market produce</w:t>
      </w:r>
      <w:r w:rsidR="00C821C7">
        <w:t>,</w:t>
      </w:r>
      <w:r>
        <w:t xml:space="preserve"> which is a growing segment of the Tasmanian economy. </w:t>
      </w:r>
    </w:p>
    <w:p w:rsidR="001D1810" w:rsidRPr="00F91EAD" w:rsidRDefault="001D1810" w:rsidP="0074367A">
      <w:r w:rsidRPr="00F91EAD">
        <w:lastRenderedPageBreak/>
        <w:t>A refrigerated container of seafood from Tasmani</w:t>
      </w:r>
      <w:r>
        <w:t xml:space="preserve">a </w:t>
      </w:r>
      <w:r w:rsidRPr="00F91EAD">
        <w:t>can be packed at the farm or facility in north or central Tasmania into a ‘reefer’ container around 2:00 pm and delivered to the ferry terminal in Devonport by 6:00pm. The container would be available for pick up in Melbourne by 6:30am the next morning and could be delivered to a market</w:t>
      </w:r>
      <w:r>
        <w:t xml:space="preserve"> in Sydney by the evening </w:t>
      </w:r>
      <w:r w:rsidRPr="00F91EAD">
        <w:t xml:space="preserve">of the same day. This is a 24-hour transit time from farm to market and is probably better than mainland producers achieve. </w:t>
      </w:r>
    </w:p>
    <w:p w:rsidR="001D1810" w:rsidRPr="00FB31A2" w:rsidRDefault="001D1810" w:rsidP="00EF4C68">
      <w:pPr>
        <w:pStyle w:val="Heading3"/>
      </w:pPr>
      <w:bookmarkStart w:id="97" w:name="_Toc367700227"/>
      <w:r w:rsidRPr="00FB31A2">
        <w:t xml:space="preserve">Freight </w:t>
      </w:r>
      <w:r w:rsidR="003925FA">
        <w:t>P</w:t>
      </w:r>
      <w:r w:rsidRPr="00FB31A2">
        <w:t>rofiles</w:t>
      </w:r>
      <w:bookmarkEnd w:id="97"/>
    </w:p>
    <w:p w:rsidR="001D1810" w:rsidRDefault="001D1810" w:rsidP="001D1810">
      <w:r>
        <w:t xml:space="preserve">Freight is presented at Tasmanian ports in a variety of ways: </w:t>
      </w:r>
    </w:p>
    <w:p w:rsidR="001D1810" w:rsidRDefault="001D1810" w:rsidP="001D1810">
      <w:pPr>
        <w:pStyle w:val="Bullet1"/>
        <w:numPr>
          <w:ilvl w:val="0"/>
          <w:numId w:val="5"/>
        </w:numPr>
        <w:spacing w:after="60"/>
      </w:pPr>
      <w:r>
        <w:t>Unitised freight is largely in:</w:t>
      </w:r>
    </w:p>
    <w:p w:rsidR="001D1810" w:rsidRDefault="001D1810" w:rsidP="001D1810">
      <w:pPr>
        <w:pStyle w:val="Bullet1"/>
        <w:numPr>
          <w:ilvl w:val="2"/>
          <w:numId w:val="18"/>
        </w:numPr>
        <w:spacing w:after="60"/>
      </w:pPr>
      <w:r>
        <w:t>containers that are general purpose, food grade and ‘reefers’; and</w:t>
      </w:r>
    </w:p>
    <w:p w:rsidR="001D1810" w:rsidRDefault="001D1810" w:rsidP="001D1810">
      <w:pPr>
        <w:pStyle w:val="Bullet1"/>
        <w:numPr>
          <w:ilvl w:val="2"/>
          <w:numId w:val="18"/>
        </w:numPr>
        <w:spacing w:after="60"/>
      </w:pPr>
      <w:r>
        <w:t xml:space="preserve">dangerous goods requiring special handling and stowage in the terminal and on the vessel. </w:t>
      </w:r>
    </w:p>
    <w:p w:rsidR="001D1810" w:rsidRDefault="001D1810" w:rsidP="001D1810">
      <w:pPr>
        <w:pStyle w:val="Bullet1"/>
        <w:numPr>
          <w:ilvl w:val="0"/>
          <w:numId w:val="5"/>
        </w:numPr>
        <w:spacing w:after="60"/>
      </w:pPr>
      <w:r>
        <w:t xml:space="preserve">Non unitised over dimensional freight. </w:t>
      </w:r>
    </w:p>
    <w:p w:rsidR="001D1810" w:rsidRDefault="001D1810" w:rsidP="001D1810">
      <w:pPr>
        <w:pStyle w:val="Bullet1"/>
        <w:numPr>
          <w:ilvl w:val="0"/>
          <w:numId w:val="5"/>
        </w:numPr>
        <w:spacing w:after="60"/>
      </w:pPr>
      <w:r>
        <w:t xml:space="preserve">Trucks can be open tops, flat racks, trailers, taut-liners and light commercial vehicles etc. </w:t>
      </w:r>
    </w:p>
    <w:p w:rsidR="001D1810" w:rsidRDefault="001D1810" w:rsidP="001D1810">
      <w:pPr>
        <w:pStyle w:val="Bullet1"/>
        <w:numPr>
          <w:ilvl w:val="0"/>
          <w:numId w:val="5"/>
        </w:numPr>
        <w:spacing w:after="60"/>
      </w:pPr>
      <w:r>
        <w:t xml:space="preserve">Private cars, caravans and vans are moved. </w:t>
      </w:r>
    </w:p>
    <w:p w:rsidR="001D1810" w:rsidRDefault="001D1810" w:rsidP="001D1810">
      <w:pPr>
        <w:pStyle w:val="Bullet1"/>
        <w:numPr>
          <w:ilvl w:val="0"/>
          <w:numId w:val="0"/>
        </w:numPr>
      </w:pPr>
    </w:p>
    <w:p w:rsidR="001D1810" w:rsidRDefault="001D1810" w:rsidP="001D1810">
      <w:r>
        <w:t>This variety of configurations cause significant operational issues and</w:t>
      </w:r>
      <w:r w:rsidRPr="004E657E">
        <w:t xml:space="preserve"> inefficiencies into the operations </w:t>
      </w:r>
      <w:r>
        <w:t>with receival, handling and storage at the terminals and stowage on board and affects the ability to maximize the lift on any given voyage and management at the destination terminal.</w:t>
      </w:r>
    </w:p>
    <w:p w:rsidR="001D1810" w:rsidRDefault="001D1810" w:rsidP="001D1810">
      <w:r>
        <w:t xml:space="preserve">Shipping operators advise they accept all types of freight and rarely reject freight, though TT-line strongly prefers trailers over containers. This is a feature of the service of all operators.  Toll-ANL has the greatest capacity for break bulk and mixed freight.  </w:t>
      </w:r>
    </w:p>
    <w:p w:rsidR="001D1810" w:rsidRPr="00FB31A2" w:rsidRDefault="001D1810" w:rsidP="00EF4C68">
      <w:pPr>
        <w:pStyle w:val="Heading3"/>
      </w:pPr>
      <w:r w:rsidRPr="00FB31A2">
        <w:t xml:space="preserve"> </w:t>
      </w:r>
      <w:bookmarkStart w:id="98" w:name="_Toc367700228"/>
      <w:r w:rsidRPr="00FB31A2">
        <w:t xml:space="preserve">Terminal </w:t>
      </w:r>
      <w:r w:rsidR="003925FA">
        <w:t>U</w:t>
      </w:r>
      <w:r w:rsidRPr="00FB31A2">
        <w:t>tilisation</w:t>
      </w:r>
      <w:bookmarkEnd w:id="98"/>
    </w:p>
    <w:p w:rsidR="001D1810" w:rsidRDefault="001D1810" w:rsidP="001D1810">
      <w:r>
        <w:t xml:space="preserve">The ability of the shipping operators to accept freight for shipment on the same day and no requirement for customs clearances on domestic freight means the utilisation of the terminals is high and compares favourably with other mainland port terminals bringing a benefit to operators and exporters in lower terminal costs and charges (see discussion section </w:t>
      </w:r>
      <w:r w:rsidR="00CA7023">
        <w:fldChar w:fldCharType="begin"/>
      </w:r>
      <w:r>
        <w:instrText xml:space="preserve"> REF _Ref361326664 \r \h </w:instrText>
      </w:r>
      <w:r w:rsidR="00CA7023">
        <w:fldChar w:fldCharType="separate"/>
      </w:r>
      <w:r w:rsidR="00FF5EB2">
        <w:t>5.5</w:t>
      </w:r>
      <w:r w:rsidR="00CA7023">
        <w:fldChar w:fldCharType="end"/>
      </w:r>
      <w:r>
        <w:t>).</w:t>
      </w:r>
    </w:p>
    <w:p w:rsidR="001D1810" w:rsidRDefault="001D1810" w:rsidP="001D1810">
      <w:r>
        <w:t xml:space="preserve">Export freight on International Liner services leaving Tasmania have to be delivered to the terminal within strict windows about three days before the vessel arrives. </w:t>
      </w:r>
    </w:p>
    <w:p w:rsidR="001D1810" w:rsidRPr="00FB31A2" w:rsidRDefault="001D1810" w:rsidP="00EF4C68">
      <w:pPr>
        <w:pStyle w:val="Heading3"/>
      </w:pPr>
      <w:r w:rsidRPr="00FB31A2">
        <w:t xml:space="preserve"> </w:t>
      </w:r>
      <w:bookmarkStart w:id="99" w:name="_Toc367700229"/>
      <w:r w:rsidRPr="00FB31A2">
        <w:t xml:space="preserve">International </w:t>
      </w:r>
      <w:r w:rsidR="003925FA">
        <w:t>T</w:t>
      </w:r>
      <w:r w:rsidRPr="00FB31A2">
        <w:t>ranshipment</w:t>
      </w:r>
      <w:bookmarkEnd w:id="99"/>
    </w:p>
    <w:p w:rsidR="001D1810" w:rsidRDefault="001D1810" w:rsidP="001D1810">
      <w:r>
        <w:t>SeaRoad Shipping and Toll-ANL handle freight that is to or from international destinations that is transhipped through Melbourne. Both companies offer services that handle this transhipment freight through their terminals in PoM.</w:t>
      </w:r>
    </w:p>
    <w:p w:rsidR="001D1810" w:rsidRDefault="001D1810" w:rsidP="001D1810">
      <w:r>
        <w:t>To support the export containers achieving the strict “windows” for accepting containers at the international terminals for shipment on the International Liner services</w:t>
      </w:r>
      <w:r w:rsidR="00DE3686">
        <w:t>,</w:t>
      </w:r>
      <w:r>
        <w:t xml:space="preserve"> both SeaRoad Shipping and Toll-ANL use their own terminals as a storage point for Tasmanian freight.</w:t>
      </w:r>
    </w:p>
    <w:p w:rsidR="001D1810" w:rsidRPr="00EF15BC" w:rsidRDefault="001D1810" w:rsidP="00AF6026">
      <w:pPr>
        <w:rPr>
          <w:rFonts w:asciiTheme="majorHAnsi" w:eastAsiaTheme="majorEastAsia" w:hAnsiTheme="majorHAnsi" w:cstheme="majorHAnsi"/>
          <w:b/>
          <w:bCs/>
          <w:color w:val="353D30" w:themeColor="accent2"/>
          <w:sz w:val="24"/>
          <w:szCs w:val="22"/>
        </w:rPr>
      </w:pPr>
      <w:r>
        <w:t>No additional charges are imposed on Tasmanian exporters for this storage and handling of containers for export some for six or more days.</w:t>
      </w:r>
      <w:r>
        <w:rPr>
          <w:color w:val="353D30" w:themeColor="text1"/>
        </w:rPr>
        <w:br w:type="page"/>
      </w:r>
    </w:p>
    <w:p w:rsidR="001D1810" w:rsidRPr="00B37BE6" w:rsidRDefault="001D1810" w:rsidP="008B6FC3">
      <w:pPr>
        <w:pStyle w:val="Heading2"/>
      </w:pPr>
      <w:bookmarkStart w:id="100" w:name="_Toc357761403"/>
      <w:bookmarkStart w:id="101" w:name="_Toc358228801"/>
      <w:bookmarkStart w:id="102" w:name="_Toc358361298"/>
      <w:bookmarkStart w:id="103" w:name="_Ref361327127"/>
      <w:bookmarkStart w:id="104" w:name="_Toc364154087"/>
      <w:bookmarkStart w:id="105" w:name="_Toc367700230"/>
      <w:r w:rsidRPr="00B37BE6">
        <w:lastRenderedPageBreak/>
        <w:t xml:space="preserve">Issues </w:t>
      </w:r>
      <w:r>
        <w:t>A</w:t>
      </w:r>
      <w:r w:rsidRPr="00B37BE6">
        <w:t xml:space="preserve">ffecting </w:t>
      </w:r>
      <w:r>
        <w:t>the C</w:t>
      </w:r>
      <w:r w:rsidRPr="00B37BE6">
        <w:t xml:space="preserve">ost </w:t>
      </w:r>
      <w:r>
        <w:t xml:space="preserve">of Shipping </w:t>
      </w:r>
      <w:r w:rsidR="002F0AF9">
        <w:t>across</w:t>
      </w:r>
      <w:r w:rsidRPr="00B37BE6">
        <w:t xml:space="preserve"> Bass Strait</w:t>
      </w:r>
      <w:bookmarkEnd w:id="100"/>
      <w:bookmarkEnd w:id="101"/>
      <w:bookmarkEnd w:id="102"/>
      <w:bookmarkEnd w:id="103"/>
      <w:bookmarkEnd w:id="104"/>
      <w:bookmarkEnd w:id="105"/>
    </w:p>
    <w:p w:rsidR="001D1810" w:rsidRDefault="001D1810" w:rsidP="001D1810">
      <w:pPr>
        <w:ind w:right="-64"/>
      </w:pPr>
      <w:r>
        <w:t>For freight users</w:t>
      </w:r>
      <w:r w:rsidR="00DE3686">
        <w:t>,</w:t>
      </w:r>
      <w:r>
        <w:t xml:space="preserve"> the rates </w:t>
      </w:r>
      <w:r w:rsidRPr="00B37BE6">
        <w:t xml:space="preserve">for </w:t>
      </w:r>
      <w:r w:rsidR="002F0AF9">
        <w:t>shipping</w:t>
      </w:r>
      <w:r w:rsidR="002F0AF9" w:rsidRPr="00B37BE6">
        <w:t xml:space="preserve"> </w:t>
      </w:r>
      <w:r w:rsidRPr="00B37BE6">
        <w:t xml:space="preserve">across Bass Strait are </w:t>
      </w:r>
      <w:r>
        <w:t xml:space="preserve">a significant cost of doing business. </w:t>
      </w:r>
    </w:p>
    <w:p w:rsidR="001D1810" w:rsidRDefault="001D1810" w:rsidP="001D1810">
      <w:pPr>
        <w:ind w:right="-64"/>
      </w:pPr>
      <w:r>
        <w:t>For freight providers the costs of shipping across Bass Strait are impacted by:</w:t>
      </w:r>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1895"/>
        <w:gridCol w:w="7144"/>
      </w:tblGrid>
      <w:tr w:rsidR="001D1810" w:rsidRPr="00C90A6B" w:rsidTr="0057495B">
        <w:trPr>
          <w:cnfStyle w:val="000000010000" w:firstRow="0" w:lastRow="0" w:firstColumn="0" w:lastColumn="0" w:oddVBand="0" w:evenVBand="0" w:oddHBand="0" w:evenHBand="1" w:firstRowFirstColumn="0" w:firstRowLastColumn="0" w:lastRowFirstColumn="0" w:lastRowLastColumn="0"/>
          <w:trHeight w:val="547"/>
          <w:tblHeader/>
        </w:trPr>
        <w:tc>
          <w:tcPr>
            <w:tcW w:w="1895" w:type="dxa"/>
            <w:shd w:val="clear" w:color="auto" w:fill="EFF0EF" w:themeFill="accent4"/>
            <w:vAlign w:val="center"/>
          </w:tcPr>
          <w:p w:rsidR="001D1810" w:rsidRPr="00F91EAD" w:rsidRDefault="001D1810" w:rsidP="0057495B">
            <w:pPr>
              <w:pStyle w:val="ListParagraph"/>
              <w:spacing w:before="0" w:after="0"/>
              <w:ind w:left="0" w:right="-62"/>
              <w:jc w:val="center"/>
              <w:rPr>
                <w:b/>
              </w:rPr>
            </w:pPr>
            <w:r w:rsidRPr="00F91EAD">
              <w:rPr>
                <w:b/>
              </w:rPr>
              <w:t>Observation</w:t>
            </w:r>
          </w:p>
        </w:tc>
        <w:tc>
          <w:tcPr>
            <w:tcW w:w="7144" w:type="dxa"/>
            <w:shd w:val="clear" w:color="auto" w:fill="auto"/>
            <w:vAlign w:val="center"/>
          </w:tcPr>
          <w:p w:rsidR="001D1810" w:rsidRPr="00F91EAD" w:rsidRDefault="001D1810" w:rsidP="0057495B">
            <w:pPr>
              <w:spacing w:before="0" w:after="0"/>
              <w:ind w:right="-62"/>
              <w:jc w:val="center"/>
              <w:rPr>
                <w:b/>
              </w:rPr>
            </w:pPr>
            <w:r w:rsidRPr="00F91EAD">
              <w:rPr>
                <w:b/>
              </w:rPr>
              <w:t>Comment</w:t>
            </w:r>
          </w:p>
        </w:tc>
      </w:tr>
      <w:tr w:rsidR="001D1810" w:rsidRPr="00C90A6B" w:rsidTr="0057495B">
        <w:tc>
          <w:tcPr>
            <w:tcW w:w="1895" w:type="dxa"/>
            <w:shd w:val="clear" w:color="auto" w:fill="EFF0EF" w:themeFill="accent4"/>
          </w:tcPr>
          <w:p w:rsidR="001D1810" w:rsidRPr="00767A8D" w:rsidRDefault="001D1810" w:rsidP="0057495B">
            <w:pPr>
              <w:pStyle w:val="Tables"/>
              <w:rPr>
                <w:b/>
              </w:rPr>
            </w:pPr>
            <w:r w:rsidRPr="00767A8D">
              <w:rPr>
                <w:b/>
              </w:rPr>
              <w:t>Cabotage</w:t>
            </w:r>
          </w:p>
        </w:tc>
        <w:tc>
          <w:tcPr>
            <w:tcW w:w="7144" w:type="dxa"/>
            <w:shd w:val="clear" w:color="auto" w:fill="auto"/>
          </w:tcPr>
          <w:p w:rsidR="001D1810" w:rsidRDefault="001D1810" w:rsidP="0057495B">
            <w:r w:rsidRPr="00B37BE6">
              <w:t xml:space="preserve">Bass Strait </w:t>
            </w:r>
            <w:r>
              <w:t>Shipping</w:t>
            </w:r>
            <w:r w:rsidRPr="00B37BE6">
              <w:t xml:space="preserve"> is a coastal trade and</w:t>
            </w:r>
            <w:r>
              <w:t xml:space="preserve"> so </w:t>
            </w:r>
            <w:r w:rsidRPr="00B37BE6">
              <w:t xml:space="preserve">falls under the </w:t>
            </w:r>
            <w:r>
              <w:t>c</w:t>
            </w:r>
            <w:r w:rsidRPr="00B37BE6">
              <w:t xml:space="preserve">abotage laws of </w:t>
            </w:r>
            <w:r>
              <w:t xml:space="preserve">Australia </w:t>
            </w:r>
            <w:r w:rsidRPr="00B37BE6">
              <w:t>mean</w:t>
            </w:r>
            <w:r>
              <w:t>ing</w:t>
            </w:r>
            <w:r w:rsidRPr="00B37BE6">
              <w:t xml:space="preserve"> only Australian flagged and crewed </w:t>
            </w:r>
            <w:r>
              <w:t>vessel</w:t>
            </w:r>
            <w:r w:rsidRPr="00B37BE6">
              <w:t xml:space="preserve">s can operate in this trade. </w:t>
            </w:r>
            <w:r>
              <w:t>The</w:t>
            </w:r>
            <w:r w:rsidRPr="00B37BE6">
              <w:t xml:space="preserve"> </w:t>
            </w:r>
            <w:r>
              <w:t xml:space="preserve">impact on the </w:t>
            </w:r>
            <w:r w:rsidRPr="00B37BE6">
              <w:t xml:space="preserve">cost of </w:t>
            </w:r>
            <w:r>
              <w:t xml:space="preserve">freight is that the </w:t>
            </w:r>
            <w:r w:rsidRPr="00B37BE6">
              <w:t xml:space="preserve">wages and </w:t>
            </w:r>
            <w:r>
              <w:t>costs</w:t>
            </w:r>
            <w:r w:rsidRPr="00B37BE6">
              <w:t xml:space="preserve"> for Australian crews are 3 to 6 times higher than </w:t>
            </w:r>
            <w:r>
              <w:t xml:space="preserve">rates of </w:t>
            </w:r>
            <w:r w:rsidRPr="00B37BE6">
              <w:t xml:space="preserve">international </w:t>
            </w:r>
            <w:r>
              <w:t>flagged vessels.</w:t>
            </w:r>
            <w:r w:rsidRPr="00B37BE6">
              <w:t xml:space="preserve"> </w:t>
            </w:r>
          </w:p>
          <w:p w:rsidR="001D1810" w:rsidRDefault="001D1810" w:rsidP="0057495B">
            <w:r w:rsidRPr="00B37BE6">
              <w:t xml:space="preserve">This </w:t>
            </w:r>
            <w:r>
              <w:t xml:space="preserve">lack of competitiveness </w:t>
            </w:r>
            <w:r w:rsidRPr="00B37BE6">
              <w:t xml:space="preserve">has contributed to </w:t>
            </w:r>
            <w:r>
              <w:t>a</w:t>
            </w:r>
            <w:r w:rsidRPr="00B37BE6">
              <w:t xml:space="preserve"> steep decline in the number of </w:t>
            </w:r>
            <w:r>
              <w:t>vessel</w:t>
            </w:r>
            <w:r w:rsidRPr="00B37BE6">
              <w:t>s registered and operating under the Australian flag.</w:t>
            </w:r>
          </w:p>
          <w:p w:rsidR="001D1810" w:rsidRPr="00C90A6B" w:rsidRDefault="001D1810" w:rsidP="0057495B">
            <w:r w:rsidRPr="00B37BE6">
              <w:t xml:space="preserve">Whether the changes to the Navigation Act </w:t>
            </w:r>
            <w:r>
              <w:t xml:space="preserve">2012 </w:t>
            </w:r>
            <w:r w:rsidRPr="00B37BE6">
              <w:t>and associated legislation</w:t>
            </w:r>
            <w:r w:rsidRPr="00B37BE6" w:rsidDel="00533452">
              <w:t xml:space="preserve"> </w:t>
            </w:r>
            <w:r w:rsidRPr="00B37BE6">
              <w:t xml:space="preserve">will arrest the decline in the numbers of Australian </w:t>
            </w:r>
            <w:r>
              <w:t>vessel</w:t>
            </w:r>
            <w:r w:rsidRPr="00B37BE6">
              <w:t>s is yet to be seen, but so far there does not seem to be any noti</w:t>
            </w:r>
            <w:r>
              <w:t xml:space="preserve">ceable change in the industry. </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Pr>
        <w:tc>
          <w:tcPr>
            <w:tcW w:w="1895" w:type="dxa"/>
            <w:shd w:val="clear" w:color="auto" w:fill="EFF0EF" w:themeFill="accent4"/>
          </w:tcPr>
          <w:p w:rsidR="001D1810" w:rsidRPr="00767A8D" w:rsidRDefault="001D1810" w:rsidP="0057495B">
            <w:pPr>
              <w:pStyle w:val="Tables"/>
              <w:rPr>
                <w:b/>
              </w:rPr>
            </w:pPr>
            <w:r w:rsidRPr="00767A8D">
              <w:rPr>
                <w:b/>
              </w:rPr>
              <w:t>Fuel</w:t>
            </w:r>
          </w:p>
        </w:tc>
        <w:tc>
          <w:tcPr>
            <w:tcW w:w="7144" w:type="dxa"/>
            <w:shd w:val="clear" w:color="auto" w:fill="auto"/>
          </w:tcPr>
          <w:p w:rsidR="001D1810" w:rsidRPr="00D75FE8" w:rsidRDefault="001D1810" w:rsidP="0057495B">
            <w:pPr>
              <w:rPr>
                <w:rFonts w:eastAsiaTheme="majorEastAsia"/>
                <w:bCs/>
                <w:color w:val="7AB800" w:themeColor="accent1"/>
              </w:rPr>
            </w:pPr>
            <w:r>
              <w:t>B</w:t>
            </w:r>
            <w:r w:rsidRPr="00B37BE6">
              <w:t xml:space="preserve">unker fuel prices on </w:t>
            </w:r>
            <w:r>
              <w:t xml:space="preserve">the coast of Australia are </w:t>
            </w:r>
            <w:r w:rsidRPr="00B37BE6">
              <w:t>substantially higher than prices in the main bunkering ports in the Asian region such as Singapore</w:t>
            </w:r>
            <w:r>
              <w:t>.</w:t>
            </w:r>
            <w:r w:rsidRPr="00B37BE6">
              <w:t xml:space="preserve"> Australian </w:t>
            </w:r>
            <w:r>
              <w:t xml:space="preserve">vessel </w:t>
            </w:r>
            <w:r w:rsidRPr="00B37BE6">
              <w:t xml:space="preserve">owners have to purchase duty paid bunkers while foreign </w:t>
            </w:r>
            <w:r>
              <w:t xml:space="preserve">vessel </w:t>
            </w:r>
            <w:r w:rsidRPr="00B37BE6">
              <w:t xml:space="preserve">owners purchase duty free bunkers. </w:t>
            </w:r>
            <w:r>
              <w:t>A</w:t>
            </w:r>
            <w:r w:rsidRPr="00B37BE6">
              <w:t xml:space="preserve"> Diesel Fuel rebate scheme </w:t>
            </w:r>
            <w:r>
              <w:t xml:space="preserve">is </w:t>
            </w:r>
            <w:r w:rsidRPr="00B37BE6">
              <w:t xml:space="preserve">available to Australian </w:t>
            </w:r>
            <w:r>
              <w:t xml:space="preserve">vessel </w:t>
            </w:r>
            <w:r w:rsidRPr="00B37BE6">
              <w:t xml:space="preserve">owners (and others) whereby some of this extra bunker fuel cost is mitigated. </w:t>
            </w:r>
          </w:p>
        </w:tc>
      </w:tr>
      <w:tr w:rsidR="001D1810" w:rsidRPr="00D75FE8" w:rsidTr="0057495B">
        <w:tc>
          <w:tcPr>
            <w:tcW w:w="1895" w:type="dxa"/>
            <w:shd w:val="clear" w:color="auto" w:fill="EFF0EF" w:themeFill="accent4"/>
          </w:tcPr>
          <w:p w:rsidR="001D1810" w:rsidRPr="00767A8D" w:rsidRDefault="001D1810" w:rsidP="0057495B">
            <w:pPr>
              <w:pStyle w:val="Tables"/>
              <w:rPr>
                <w:b/>
              </w:rPr>
            </w:pPr>
            <w:r w:rsidRPr="00767A8D">
              <w:rPr>
                <w:b/>
              </w:rPr>
              <w:t xml:space="preserve">Operations </w:t>
            </w:r>
            <w:r w:rsidR="003925FA">
              <w:rPr>
                <w:b/>
              </w:rPr>
              <w:t>A</w:t>
            </w:r>
            <w:r w:rsidRPr="00767A8D">
              <w:rPr>
                <w:b/>
              </w:rPr>
              <w:t>spects</w:t>
            </w:r>
          </w:p>
        </w:tc>
        <w:tc>
          <w:tcPr>
            <w:tcW w:w="7144" w:type="dxa"/>
            <w:shd w:val="clear" w:color="auto" w:fill="auto"/>
          </w:tcPr>
          <w:p w:rsidR="001D1810" w:rsidRDefault="00AF6026" w:rsidP="0057495B">
            <w:r>
              <w:t>RORO</w:t>
            </w:r>
            <w:r w:rsidR="001D1810" w:rsidRPr="00B37BE6">
              <w:t xml:space="preserve"> services </w:t>
            </w:r>
            <w:r w:rsidR="001D1810">
              <w:t xml:space="preserve">and International Liner services </w:t>
            </w:r>
            <w:r w:rsidR="001D1810" w:rsidRPr="00B37BE6">
              <w:t>have distinctly diff</w:t>
            </w:r>
            <w:r w:rsidR="001D1810">
              <w:t xml:space="preserve">erent operating cost structures as discussed below: </w:t>
            </w:r>
          </w:p>
          <w:p w:rsidR="001D1810" w:rsidRPr="00B37BE6" w:rsidRDefault="001D1810" w:rsidP="0057495B">
            <w:r>
              <w:t xml:space="preserve">Short-sea trade vessels </w:t>
            </w:r>
            <w:r w:rsidRPr="00B37BE6">
              <w:t xml:space="preserve">are far more heavily utilised </w:t>
            </w:r>
            <w:r>
              <w:t xml:space="preserve">and subject to wear and tear </w:t>
            </w:r>
            <w:r w:rsidRPr="00B37BE6">
              <w:t xml:space="preserve">compared </w:t>
            </w:r>
            <w:r>
              <w:t xml:space="preserve">to </w:t>
            </w:r>
            <w:r w:rsidRPr="00B37BE6">
              <w:t xml:space="preserve">long distance </w:t>
            </w:r>
            <w:r>
              <w:t xml:space="preserve">International Liners. </w:t>
            </w:r>
            <w:r w:rsidR="00AF6026">
              <w:t>RORO</w:t>
            </w:r>
            <w:r w:rsidRPr="00B37BE6">
              <w:t xml:space="preserve"> </w:t>
            </w:r>
            <w:r>
              <w:t>vessel</w:t>
            </w:r>
            <w:r w:rsidRPr="00B37BE6">
              <w:t xml:space="preserve">s load and discharge </w:t>
            </w:r>
            <w:r>
              <w:t>freight</w:t>
            </w:r>
            <w:r w:rsidRPr="00B37BE6">
              <w:t xml:space="preserve"> twice in every 24-hour period; long distance </w:t>
            </w:r>
            <w:r>
              <w:t>vessel</w:t>
            </w:r>
            <w:r w:rsidRPr="00B37BE6">
              <w:t xml:space="preserve">s would do so only once </w:t>
            </w:r>
            <w:r>
              <w:t>every</w:t>
            </w:r>
            <w:r w:rsidRPr="00B37BE6">
              <w:t xml:space="preserve"> 7 days o</w:t>
            </w:r>
            <w:r>
              <w:t xml:space="preserve">r even longer (on average). In addition </w:t>
            </w:r>
            <w:r w:rsidRPr="00B37BE6">
              <w:t xml:space="preserve">there are other </w:t>
            </w:r>
            <w:r>
              <w:t>associated effects on costs such as:</w:t>
            </w:r>
            <w:r w:rsidRPr="00B37BE6">
              <w:t xml:space="preserve"> </w:t>
            </w:r>
          </w:p>
          <w:p w:rsidR="001D1810" w:rsidRDefault="00AF6026" w:rsidP="001D1810">
            <w:pPr>
              <w:pStyle w:val="Bullet1"/>
              <w:numPr>
                <w:ilvl w:val="0"/>
                <w:numId w:val="5"/>
              </w:numPr>
              <w:spacing w:after="60"/>
              <w:rPr>
                <w:rFonts w:eastAsiaTheme="majorEastAsia"/>
                <w:bCs/>
                <w:color w:val="7AB800" w:themeColor="accent1"/>
              </w:rPr>
            </w:pPr>
            <w:r>
              <w:t>RORO</w:t>
            </w:r>
            <w:r w:rsidR="001D1810" w:rsidRPr="00B37BE6">
              <w:t xml:space="preserve"> </w:t>
            </w:r>
            <w:r w:rsidR="001D1810">
              <w:t>vessel</w:t>
            </w:r>
            <w:r w:rsidR="001D1810" w:rsidRPr="00B37BE6">
              <w:t xml:space="preserve">s in the Bass Strait trade are manned with slightly higher crew numbers </w:t>
            </w:r>
            <w:r w:rsidR="001D1810">
              <w:t>to manage the continuous loading and unloading and the</w:t>
            </w:r>
            <w:r w:rsidR="001D1810" w:rsidRPr="00B37BE6">
              <w:t xml:space="preserve"> mandatory periods for rest</w:t>
            </w:r>
            <w:r w:rsidR="001D1810">
              <w:t xml:space="preserve"> </w:t>
            </w:r>
            <w:r w:rsidR="001D1810" w:rsidRPr="00B37BE6">
              <w:t xml:space="preserve">than with </w:t>
            </w:r>
            <w:r w:rsidR="001D1810">
              <w:t>International Liner</w:t>
            </w:r>
            <w:r w:rsidR="001D1810" w:rsidRPr="00B37BE6">
              <w:t xml:space="preserve"> vessels. </w:t>
            </w:r>
          </w:p>
          <w:p w:rsidR="001D1810" w:rsidRDefault="001D1810" w:rsidP="001D1810">
            <w:pPr>
              <w:pStyle w:val="Bullet1"/>
              <w:numPr>
                <w:ilvl w:val="0"/>
                <w:numId w:val="5"/>
              </w:numPr>
              <w:spacing w:after="60"/>
              <w:rPr>
                <w:rFonts w:eastAsiaTheme="majorEastAsia"/>
                <w:bCs/>
                <w:color w:val="7AB800" w:themeColor="accent1"/>
              </w:rPr>
            </w:pPr>
            <w:r>
              <w:t>The wide variety of freight and configurations to be managed on the Bass Strait trade impose</w:t>
            </w:r>
            <w:r w:rsidRPr="00B37BE6">
              <w:t xml:space="preserve"> inefficiencies in </w:t>
            </w:r>
            <w:r>
              <w:t>shipping</w:t>
            </w:r>
            <w:r w:rsidRPr="00B37BE6">
              <w:t xml:space="preserve"> operations. </w:t>
            </w:r>
          </w:p>
        </w:tc>
      </w:tr>
    </w:tbl>
    <w:p w:rsidR="001D1810" w:rsidRDefault="001D1810" w:rsidP="001D1810">
      <w:pPr>
        <w:pStyle w:val="Caption"/>
      </w:pPr>
      <w:bookmarkStart w:id="106" w:name="_Toc358297664"/>
      <w:bookmarkStart w:id="107" w:name="_Toc364161824"/>
      <w:bookmarkStart w:id="108" w:name="_Toc366769121"/>
      <w:r>
        <w:t xml:space="preserve">Table </w:t>
      </w:r>
      <w:r w:rsidR="00CA7023">
        <w:fldChar w:fldCharType="begin"/>
      </w:r>
      <w:r w:rsidR="009A1986">
        <w:instrText xml:space="preserve"> SEQ Table \* ARABIC </w:instrText>
      </w:r>
      <w:r w:rsidR="00CA7023">
        <w:fldChar w:fldCharType="separate"/>
      </w:r>
      <w:r w:rsidR="00FF5EB2">
        <w:rPr>
          <w:noProof/>
        </w:rPr>
        <w:t>4</w:t>
      </w:r>
      <w:r w:rsidR="00CA7023">
        <w:fldChar w:fldCharType="end"/>
      </w:r>
      <w:r>
        <w:t>: Bass Strait Shipping Cost Impacts</w:t>
      </w:r>
      <w:bookmarkEnd w:id="106"/>
      <w:bookmarkEnd w:id="107"/>
      <w:bookmarkEnd w:id="108"/>
    </w:p>
    <w:p w:rsidR="001D1810" w:rsidRDefault="001D1810" w:rsidP="001D1810">
      <w:pPr>
        <w:spacing w:after="200"/>
        <w:jc w:val="left"/>
      </w:pPr>
      <w:r>
        <w:br w:type="page"/>
      </w:r>
    </w:p>
    <w:p w:rsidR="001D1810" w:rsidRPr="00247B7D" w:rsidRDefault="001D1810" w:rsidP="008B6FC3">
      <w:pPr>
        <w:pStyle w:val="Heading2"/>
      </w:pPr>
      <w:bookmarkStart w:id="109" w:name="_Toc357761404"/>
      <w:bookmarkStart w:id="110" w:name="_Toc357761405"/>
      <w:bookmarkStart w:id="111" w:name="_Toc357761406"/>
      <w:bookmarkStart w:id="112" w:name="_Toc357761407"/>
      <w:bookmarkStart w:id="113" w:name="_Toc357761408"/>
      <w:bookmarkStart w:id="114" w:name="_Toc357761409"/>
      <w:bookmarkStart w:id="115" w:name="_Toc357761410"/>
      <w:bookmarkStart w:id="116" w:name="_Toc358228802"/>
      <w:bookmarkStart w:id="117" w:name="_Toc358361299"/>
      <w:bookmarkStart w:id="118" w:name="_Toc364154088"/>
      <w:bookmarkStart w:id="119" w:name="_Toc367700231"/>
      <w:bookmarkEnd w:id="109"/>
      <w:bookmarkEnd w:id="110"/>
      <w:bookmarkEnd w:id="111"/>
      <w:bookmarkEnd w:id="112"/>
      <w:bookmarkEnd w:id="113"/>
      <w:bookmarkEnd w:id="114"/>
      <w:r w:rsidRPr="005D6E44">
        <w:lastRenderedPageBreak/>
        <w:t xml:space="preserve">Overseas </w:t>
      </w:r>
      <w:r>
        <w:t xml:space="preserve">Short Sea </w:t>
      </w:r>
      <w:r w:rsidR="00AF6026">
        <w:t>RORO</w:t>
      </w:r>
      <w:r>
        <w:t xml:space="preserve"> Shipping Service Rates</w:t>
      </w:r>
      <w:bookmarkEnd w:id="115"/>
      <w:bookmarkEnd w:id="116"/>
      <w:bookmarkEnd w:id="117"/>
      <w:bookmarkEnd w:id="118"/>
      <w:bookmarkEnd w:id="119"/>
    </w:p>
    <w:p w:rsidR="001D1810" w:rsidRDefault="001D1810" w:rsidP="001D1810">
      <w:r>
        <w:t xml:space="preserve">The FLCT requested two benchmarking studies of short sea </w:t>
      </w:r>
      <w:r w:rsidR="00AF6026">
        <w:t>RORO</w:t>
      </w:r>
      <w:r>
        <w:t xml:space="preserve"> Shipping services similar to Bass Strait services in order to understand the relative rates and service features compared to Bass Strait.  These were a comparison of services across the Cook Strait in New Zealand and a second comparable international service.</w:t>
      </w:r>
    </w:p>
    <w:p w:rsidR="001D1810" w:rsidRDefault="001D1810" w:rsidP="00EF4C68">
      <w:pPr>
        <w:pStyle w:val="Heading3"/>
      </w:pPr>
      <w:r>
        <w:t xml:space="preserve"> </w:t>
      </w:r>
      <w:bookmarkStart w:id="120" w:name="_Toc367700232"/>
      <w:r>
        <w:t xml:space="preserve">Comparison of </w:t>
      </w:r>
      <w:r w:rsidR="003925FA">
        <w:t>S</w:t>
      </w:r>
      <w:r>
        <w:t xml:space="preserve">ervices and </w:t>
      </w:r>
      <w:r w:rsidR="003925FA">
        <w:t>R</w:t>
      </w:r>
      <w:r>
        <w:t xml:space="preserve">ates </w:t>
      </w:r>
      <w:r w:rsidR="003925FA">
        <w:t>A</w:t>
      </w:r>
      <w:r>
        <w:t>cross the Cook Strait</w:t>
      </w:r>
      <w:bookmarkEnd w:id="120"/>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1895"/>
        <w:gridCol w:w="7144"/>
      </w:tblGrid>
      <w:tr w:rsidR="001D1810" w:rsidRPr="00D75FE8" w:rsidTr="0057495B">
        <w:trPr>
          <w:trHeight w:val="443"/>
        </w:trPr>
        <w:tc>
          <w:tcPr>
            <w:tcW w:w="1895" w:type="dxa"/>
            <w:tcBorders>
              <w:bottom w:val="single" w:sz="4" w:space="0" w:color="A6A6A6" w:themeColor="background1" w:themeShade="A6"/>
            </w:tcBorders>
            <w:shd w:val="clear" w:color="auto" w:fill="EFF0EF" w:themeFill="accent4"/>
            <w:vAlign w:val="center"/>
          </w:tcPr>
          <w:p w:rsidR="001D1810" w:rsidRPr="00F91EAD" w:rsidRDefault="001D1810" w:rsidP="0057495B">
            <w:pPr>
              <w:pStyle w:val="ListParagraph"/>
              <w:spacing w:before="0" w:after="0"/>
              <w:ind w:left="0" w:right="-62"/>
              <w:jc w:val="center"/>
              <w:rPr>
                <w:b/>
              </w:rPr>
            </w:pPr>
            <w:r w:rsidRPr="00F91EAD">
              <w:rPr>
                <w:b/>
              </w:rPr>
              <w:t>Observation</w:t>
            </w:r>
          </w:p>
        </w:tc>
        <w:tc>
          <w:tcPr>
            <w:tcW w:w="7144" w:type="dxa"/>
            <w:tcBorders>
              <w:bottom w:val="single" w:sz="4" w:space="0" w:color="A6A6A6" w:themeColor="background1" w:themeShade="A6"/>
            </w:tcBorders>
            <w:shd w:val="clear" w:color="auto" w:fill="auto"/>
            <w:vAlign w:val="center"/>
          </w:tcPr>
          <w:p w:rsidR="001D1810" w:rsidRPr="00F91EAD" w:rsidRDefault="001D1810" w:rsidP="0057495B">
            <w:pPr>
              <w:spacing w:before="0" w:after="0"/>
              <w:ind w:right="-62"/>
              <w:jc w:val="center"/>
              <w:rPr>
                <w:b/>
              </w:rPr>
            </w:pPr>
            <w:r w:rsidRPr="00F91EAD">
              <w:rPr>
                <w:b/>
              </w:rPr>
              <w:t>Comment</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Pr>
        <w:tc>
          <w:tcPr>
            <w:tcW w:w="1895" w:type="dxa"/>
            <w:tcBorders>
              <w:bottom w:val="single" w:sz="4" w:space="0" w:color="BFBFBF" w:themeColor="background1" w:themeShade="BF"/>
            </w:tcBorders>
            <w:shd w:val="clear" w:color="auto" w:fill="EFF0EF" w:themeFill="accent4"/>
          </w:tcPr>
          <w:p w:rsidR="001D1810" w:rsidRPr="00767A8D" w:rsidRDefault="001D1810" w:rsidP="0057495B">
            <w:pPr>
              <w:pStyle w:val="Tables"/>
              <w:jc w:val="left"/>
              <w:rPr>
                <w:b/>
              </w:rPr>
            </w:pPr>
            <w:r>
              <w:br w:type="page"/>
            </w:r>
            <w:r w:rsidRPr="00767A8D">
              <w:rPr>
                <w:b/>
              </w:rPr>
              <w:t>Cook Strait Services – Wellington and Picton, New Zealand</w:t>
            </w:r>
          </w:p>
        </w:tc>
        <w:tc>
          <w:tcPr>
            <w:tcW w:w="7144" w:type="dxa"/>
            <w:tcBorders>
              <w:bottom w:val="single" w:sz="4" w:space="0" w:color="BFBFBF" w:themeColor="background1" w:themeShade="BF"/>
            </w:tcBorders>
            <w:shd w:val="clear" w:color="auto" w:fill="auto"/>
          </w:tcPr>
          <w:p w:rsidR="001D1810" w:rsidRDefault="001D1810" w:rsidP="00AF6026">
            <w:pPr>
              <w:rPr>
                <w:rFonts w:eastAsiaTheme="majorEastAsia"/>
                <w:b/>
                <w:bCs/>
                <w:color w:val="7AB800" w:themeColor="accent1"/>
              </w:rPr>
            </w:pPr>
            <w:r w:rsidRPr="002D319C">
              <w:t>This service has been in place for many decades</w:t>
            </w:r>
            <w:r>
              <w:t xml:space="preserve"> and i</w:t>
            </w:r>
            <w:r w:rsidRPr="002D319C">
              <w:t xml:space="preserve">t is owned by the </w:t>
            </w:r>
            <w:r>
              <w:t>New Zealand</w:t>
            </w:r>
            <w:r w:rsidRPr="002D319C">
              <w:t xml:space="preserve"> government trading under the name “Inter-islander”.  </w:t>
            </w:r>
          </w:p>
          <w:p w:rsidR="001D1810" w:rsidRPr="002D319C" w:rsidRDefault="001D1810" w:rsidP="00AF6026">
            <w:pPr>
              <w:rPr>
                <w:rFonts w:eastAsiaTheme="majorEastAsia"/>
                <w:b/>
                <w:bCs/>
                <w:color w:val="7AB800" w:themeColor="accent1"/>
              </w:rPr>
            </w:pPr>
            <w:r w:rsidRPr="002D319C">
              <w:t>Th</w:t>
            </w:r>
            <w:r>
              <w:t xml:space="preserve">e Cook Strait </w:t>
            </w:r>
            <w:r w:rsidRPr="002D319C">
              <w:t xml:space="preserve">service is very passenger oriented as it is a vital link between the </w:t>
            </w:r>
            <w:r>
              <w:t>N</w:t>
            </w:r>
            <w:r w:rsidRPr="002D319C">
              <w:t xml:space="preserve">orth and </w:t>
            </w:r>
            <w:r>
              <w:t>S</w:t>
            </w:r>
            <w:r w:rsidRPr="002D319C">
              <w:t>outh islands of N</w:t>
            </w:r>
            <w:r>
              <w:t xml:space="preserve">ew </w:t>
            </w:r>
            <w:r w:rsidRPr="002D319C">
              <w:t>Z</w:t>
            </w:r>
            <w:r>
              <w:t>ealand</w:t>
            </w:r>
            <w:r w:rsidRPr="002D319C">
              <w:t>. In addition to carrying passengers</w:t>
            </w:r>
            <w:r>
              <w:t xml:space="preserve">, container freight is carried </w:t>
            </w:r>
            <w:r w:rsidRPr="002D319C">
              <w:t xml:space="preserve">on trailers and road trailers. </w:t>
            </w:r>
            <w:r>
              <w:t xml:space="preserve"> Around</w:t>
            </w:r>
            <w:r w:rsidRPr="002D319C">
              <w:t xml:space="preserve"> 60% of freight is general </w:t>
            </w:r>
            <w:r>
              <w:t>freight</w:t>
            </w:r>
            <w:r w:rsidRPr="002D319C">
              <w:t xml:space="preserve">, 20% food and agricultural products and rest courier livestock and some bulk products. </w:t>
            </w:r>
          </w:p>
          <w:p w:rsidR="001D1810" w:rsidRPr="000B2866" w:rsidRDefault="001D1810" w:rsidP="00747377">
            <w:pPr>
              <w:keepNext/>
              <w:rPr>
                <w:rFonts w:eastAsiaTheme="majorEastAsia"/>
                <w:b/>
                <w:bCs/>
                <w:color w:val="7AB800" w:themeColor="accent1"/>
              </w:rPr>
            </w:pPr>
            <w:r>
              <w:t>T</w:t>
            </w:r>
            <w:r w:rsidRPr="002D319C">
              <w:t>his ferry service is not a good comparison for Bass Strait se</w:t>
            </w:r>
            <w:r>
              <w:t>rvices</w:t>
            </w:r>
            <w:r w:rsidRPr="002D319C">
              <w:t xml:space="preserve"> as the nature of the supply chain for commercial freight users is quite different to that between Tasmania and mainland Australia.</w:t>
            </w:r>
            <w:r>
              <w:t xml:space="preserve"> I</w:t>
            </w:r>
            <w:r w:rsidRPr="002D319C">
              <w:t xml:space="preserve">t is provided below as an indication of </w:t>
            </w:r>
            <w:r>
              <w:t>rates</w:t>
            </w:r>
            <w:r w:rsidRPr="002D319C">
              <w:t xml:space="preserve"> on another ferry service in our geographical area that is subject to some aspects of cabotage.</w:t>
            </w:r>
          </w:p>
        </w:tc>
      </w:tr>
    </w:tbl>
    <w:p w:rsidR="001D1810" w:rsidRDefault="00747377" w:rsidP="00747377">
      <w:pPr>
        <w:pStyle w:val="Caption"/>
      </w:pPr>
      <w:bookmarkStart w:id="121" w:name="_Toc366769122"/>
      <w:r>
        <w:t xml:space="preserve">Table </w:t>
      </w:r>
      <w:r w:rsidR="00CA7023">
        <w:fldChar w:fldCharType="begin"/>
      </w:r>
      <w:r>
        <w:instrText xml:space="preserve"> SEQ Table \* ARABIC </w:instrText>
      </w:r>
      <w:r w:rsidR="00CA7023">
        <w:fldChar w:fldCharType="separate"/>
      </w:r>
      <w:r w:rsidR="00FF5EB2">
        <w:rPr>
          <w:noProof/>
        </w:rPr>
        <w:t>5</w:t>
      </w:r>
      <w:r w:rsidR="00CA7023">
        <w:fldChar w:fldCharType="end"/>
      </w:r>
      <w:r>
        <w:t xml:space="preserve">: </w:t>
      </w:r>
      <w:r w:rsidRPr="00002044">
        <w:t xml:space="preserve">Comparison of </w:t>
      </w:r>
      <w:r w:rsidR="003925FA">
        <w:t>S</w:t>
      </w:r>
      <w:r w:rsidRPr="00002044">
        <w:t xml:space="preserve">ervices and </w:t>
      </w:r>
      <w:r w:rsidR="003925FA">
        <w:t>R</w:t>
      </w:r>
      <w:r w:rsidRPr="00002044">
        <w:t xml:space="preserve">ates </w:t>
      </w:r>
      <w:r w:rsidR="003925FA">
        <w:t>A</w:t>
      </w:r>
      <w:r w:rsidRPr="00002044">
        <w:t>cross the Cook Strait</w:t>
      </w:r>
      <w:bookmarkEnd w:id="121"/>
    </w:p>
    <w:p w:rsidR="00747377" w:rsidRDefault="00747377" w:rsidP="001D1810">
      <w:pPr>
        <w:pStyle w:val="Tables"/>
        <w:jc w:val="left"/>
      </w:pPr>
    </w:p>
    <w:p w:rsidR="001D1810" w:rsidRPr="00A710FE" w:rsidRDefault="00CA7023" w:rsidP="001D1810">
      <w:pPr>
        <w:pStyle w:val="Tables"/>
        <w:jc w:val="left"/>
      </w:pPr>
      <w:r>
        <w:fldChar w:fldCharType="begin"/>
      </w:r>
      <w:r w:rsidR="009A1986">
        <w:instrText xml:space="preserve"> REF _Ref366766101 \h </w:instrText>
      </w:r>
      <w:r>
        <w:fldChar w:fldCharType="separate"/>
      </w:r>
      <w:r w:rsidR="00FF5EB2">
        <w:t xml:space="preserve">Table </w:t>
      </w:r>
      <w:r w:rsidR="00FF5EB2">
        <w:rPr>
          <w:noProof/>
        </w:rPr>
        <w:t>6</w:t>
      </w:r>
      <w:r>
        <w:fldChar w:fldCharType="end"/>
      </w:r>
      <w:r w:rsidR="009A1986">
        <w:t xml:space="preserve"> </w:t>
      </w:r>
      <w:r w:rsidR="001D1810">
        <w:t xml:space="preserve">below </w:t>
      </w:r>
      <w:r w:rsidR="001D1810" w:rsidRPr="00A710FE">
        <w:t>shows a comparison of Cook Strait and Bass Strait shipping rates.</w:t>
      </w:r>
    </w:p>
    <w:p w:rsidR="001D1810" w:rsidRPr="00FB2394" w:rsidRDefault="001D1810" w:rsidP="001D1810">
      <w:pPr>
        <w:pStyle w:val="Tables"/>
      </w:pPr>
    </w:p>
    <w:tbl>
      <w:tblPr>
        <w:tblStyle w:val="Style1"/>
        <w:tblW w:w="9864" w:type="dxa"/>
        <w:tblLayout w:type="fixed"/>
        <w:tblLook w:val="04A0" w:firstRow="1" w:lastRow="0" w:firstColumn="1" w:lastColumn="0" w:noHBand="0" w:noVBand="1"/>
      </w:tblPr>
      <w:tblGrid>
        <w:gridCol w:w="2376"/>
        <w:gridCol w:w="1474"/>
        <w:gridCol w:w="1591"/>
        <w:gridCol w:w="1474"/>
        <w:gridCol w:w="1474"/>
        <w:gridCol w:w="1475"/>
      </w:tblGrid>
      <w:tr w:rsidR="001D1810" w:rsidRPr="003209AF" w:rsidTr="005749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Pr>
          <w:p w:rsidR="001D1810" w:rsidRPr="00F91EAD" w:rsidRDefault="001D1810" w:rsidP="0057495B">
            <w:pPr>
              <w:pStyle w:val="Tables"/>
              <w:spacing w:before="144" w:after="144"/>
              <w:jc w:val="center"/>
              <w:rPr>
                <w:rFonts w:eastAsia="Times New Roman"/>
                <w:color w:val="000000"/>
                <w:lang w:eastAsia="en-GB"/>
              </w:rPr>
            </w:pPr>
            <w:r w:rsidRPr="00F91EAD">
              <w:rPr>
                <w:rFonts w:eastAsia="Times New Roman"/>
                <w:color w:val="000000"/>
                <w:lang w:eastAsia="en-GB"/>
              </w:rPr>
              <w:t>Route</w:t>
            </w:r>
          </w:p>
        </w:tc>
        <w:tc>
          <w:tcPr>
            <w:tcW w:w="1474" w:type="dxa"/>
          </w:tcPr>
          <w:p w:rsidR="001D1810" w:rsidRPr="00F91EAD" w:rsidRDefault="001D1810" w:rsidP="0057495B">
            <w:pPr>
              <w:pStyle w:val="Tables"/>
              <w:spacing w:before="144" w:after="144"/>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n-GB"/>
              </w:rPr>
            </w:pPr>
            <w:r w:rsidRPr="00F91EAD">
              <w:rPr>
                <w:rFonts w:eastAsia="Times New Roman"/>
                <w:color w:val="000000"/>
                <w:lang w:eastAsia="en-GB"/>
              </w:rPr>
              <w:t>Service</w:t>
            </w:r>
          </w:p>
        </w:tc>
        <w:tc>
          <w:tcPr>
            <w:tcW w:w="1591" w:type="dxa"/>
          </w:tcPr>
          <w:p w:rsidR="001D1810" w:rsidRPr="00F91EAD" w:rsidRDefault="001D1810" w:rsidP="0057495B">
            <w:pPr>
              <w:pStyle w:val="Tables"/>
              <w:spacing w:before="144" w:after="144"/>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n-GB"/>
              </w:rPr>
            </w:pPr>
            <w:r w:rsidRPr="00F91EAD">
              <w:rPr>
                <w:rFonts w:eastAsia="Times New Roman"/>
                <w:color w:val="000000"/>
                <w:lang w:eastAsia="en-GB"/>
              </w:rPr>
              <w:t>Configuration</w:t>
            </w:r>
          </w:p>
        </w:tc>
        <w:tc>
          <w:tcPr>
            <w:tcW w:w="1474" w:type="dxa"/>
          </w:tcPr>
          <w:p w:rsidR="001D1810" w:rsidRPr="00F91EAD" w:rsidRDefault="001D1810" w:rsidP="0057495B">
            <w:pPr>
              <w:pStyle w:val="Tables"/>
              <w:spacing w:before="144" w:after="144"/>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n-GB"/>
              </w:rPr>
            </w:pPr>
            <w:r w:rsidRPr="00F91EAD">
              <w:rPr>
                <w:rFonts w:eastAsia="Times New Roman"/>
                <w:color w:val="000000"/>
                <w:lang w:eastAsia="en-GB"/>
              </w:rPr>
              <w:t>Price</w:t>
            </w:r>
            <w:r>
              <w:rPr>
                <w:rFonts w:eastAsia="Times New Roman"/>
                <w:color w:val="000000"/>
                <w:lang w:eastAsia="en-GB"/>
              </w:rPr>
              <w:t xml:space="preserve"> (linear mtr excl tax, THC)</w:t>
            </w:r>
          </w:p>
        </w:tc>
        <w:tc>
          <w:tcPr>
            <w:tcW w:w="1474" w:type="dxa"/>
          </w:tcPr>
          <w:p w:rsidR="001D1810" w:rsidRPr="00F91EAD" w:rsidRDefault="001D1810" w:rsidP="0057495B">
            <w:pPr>
              <w:pStyle w:val="Tables"/>
              <w:spacing w:before="144" w:after="144"/>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n-GB"/>
              </w:rPr>
            </w:pPr>
            <w:r w:rsidRPr="00F91EAD">
              <w:rPr>
                <w:rFonts w:eastAsia="Times New Roman"/>
                <w:color w:val="000000"/>
                <w:lang w:eastAsia="en-GB"/>
              </w:rPr>
              <w:t>Price $AUD*</w:t>
            </w:r>
          </w:p>
        </w:tc>
        <w:tc>
          <w:tcPr>
            <w:tcW w:w="1475" w:type="dxa"/>
          </w:tcPr>
          <w:p w:rsidR="001D1810" w:rsidRPr="00F91EAD" w:rsidRDefault="001D1810" w:rsidP="0057495B">
            <w:pPr>
              <w:pStyle w:val="Tables"/>
              <w:spacing w:before="144" w:after="144"/>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n-GB"/>
              </w:rPr>
            </w:pPr>
            <w:r w:rsidRPr="00F91EAD">
              <w:rPr>
                <w:rFonts w:eastAsia="Times New Roman"/>
                <w:color w:val="000000"/>
                <w:lang w:eastAsia="en-GB"/>
              </w:rPr>
              <w:t>Distance</w:t>
            </w:r>
          </w:p>
        </w:tc>
      </w:tr>
      <w:tr w:rsidR="001D1810" w:rsidRPr="003209AF" w:rsidTr="0057495B">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376" w:type="dxa"/>
          </w:tcPr>
          <w:p w:rsidR="001D1810" w:rsidRPr="00F91EAD" w:rsidRDefault="001D1810" w:rsidP="0057495B">
            <w:pPr>
              <w:pStyle w:val="Tables"/>
              <w:rPr>
                <w:rFonts w:eastAsia="Times New Roman"/>
                <w:color w:val="000000"/>
                <w:lang w:eastAsia="en-GB"/>
              </w:rPr>
            </w:pPr>
            <w:r w:rsidRPr="00F91EAD">
              <w:rPr>
                <w:rFonts w:eastAsia="Times New Roman"/>
                <w:color w:val="000000"/>
                <w:lang w:eastAsia="en-GB"/>
              </w:rPr>
              <w:t>Wellington to Picton</w:t>
            </w:r>
          </w:p>
        </w:tc>
        <w:tc>
          <w:tcPr>
            <w:tcW w:w="1474" w:type="dxa"/>
          </w:tcPr>
          <w:p w:rsidR="001D1810" w:rsidRPr="00F91EAD"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bookmarkStart w:id="122" w:name="_Toc357761411"/>
            <w:r w:rsidRPr="00F91EAD">
              <w:rPr>
                <w:rFonts w:eastAsia="Times New Roman"/>
                <w:color w:val="000000"/>
                <w:lang w:eastAsia="en-GB"/>
              </w:rPr>
              <w:t>3 hours</w:t>
            </w:r>
            <w:bookmarkEnd w:id="122"/>
          </w:p>
        </w:tc>
        <w:tc>
          <w:tcPr>
            <w:tcW w:w="1591" w:type="dxa"/>
          </w:tcPr>
          <w:p w:rsidR="001D1810" w:rsidRPr="00F91EAD"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bookmarkStart w:id="123" w:name="_Toc357761412"/>
            <w:r w:rsidRPr="00F91EAD">
              <w:rPr>
                <w:rFonts w:eastAsia="Times New Roman"/>
                <w:color w:val="000000"/>
                <w:lang w:eastAsia="en-GB"/>
              </w:rPr>
              <w:t>Trailer (dry)</w:t>
            </w:r>
            <w:bookmarkEnd w:id="123"/>
          </w:p>
        </w:tc>
        <w:tc>
          <w:tcPr>
            <w:tcW w:w="1474" w:type="dxa"/>
          </w:tcPr>
          <w:p w:rsidR="001D1810" w:rsidRPr="00F91EAD"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bookmarkStart w:id="124" w:name="_Toc357761413"/>
            <w:r w:rsidRPr="00F91EAD">
              <w:rPr>
                <w:rFonts w:eastAsia="Times New Roman"/>
                <w:color w:val="000000"/>
                <w:lang w:eastAsia="en-GB"/>
              </w:rPr>
              <w:t>$NZD100</w:t>
            </w:r>
            <w:bookmarkEnd w:id="124"/>
          </w:p>
        </w:tc>
        <w:tc>
          <w:tcPr>
            <w:tcW w:w="1474" w:type="dxa"/>
          </w:tcPr>
          <w:p w:rsidR="001D1810" w:rsidRPr="00F91EAD"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bookmarkStart w:id="125" w:name="_Toc357761414"/>
            <w:r w:rsidRPr="00F91EAD">
              <w:rPr>
                <w:rFonts w:eastAsia="Times New Roman"/>
                <w:color w:val="000000"/>
                <w:lang w:eastAsia="en-GB"/>
              </w:rPr>
              <w:t>$82.70</w:t>
            </w:r>
            <w:bookmarkEnd w:id="125"/>
          </w:p>
        </w:tc>
        <w:tc>
          <w:tcPr>
            <w:tcW w:w="1475" w:type="dxa"/>
          </w:tcPr>
          <w:p w:rsidR="001D1810" w:rsidRPr="00F91EAD"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bookmarkStart w:id="126" w:name="_Toc357761415"/>
            <w:r w:rsidRPr="00F91EAD">
              <w:rPr>
                <w:rFonts w:eastAsia="Times New Roman"/>
                <w:color w:val="000000"/>
                <w:lang w:eastAsia="en-GB"/>
              </w:rPr>
              <w:t>51 nm</w:t>
            </w:r>
            <w:bookmarkEnd w:id="126"/>
          </w:p>
        </w:tc>
      </w:tr>
      <w:tr w:rsidR="001D1810" w:rsidRPr="003209AF" w:rsidTr="0057495B">
        <w:trPr>
          <w:cnfStyle w:val="000000010000" w:firstRow="0" w:lastRow="0" w:firstColumn="0" w:lastColumn="0" w:oddVBand="0" w:evenVBand="0" w:oddHBand="0" w:evenHBand="1"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2376" w:type="dxa"/>
          </w:tcPr>
          <w:p w:rsidR="001D1810" w:rsidRPr="00F91EAD" w:rsidRDefault="001D1810" w:rsidP="0057495B">
            <w:pPr>
              <w:pStyle w:val="Tables"/>
              <w:rPr>
                <w:rFonts w:eastAsia="Times New Roman"/>
                <w:color w:val="000000"/>
                <w:lang w:eastAsia="en-GB"/>
              </w:rPr>
            </w:pPr>
            <w:bookmarkStart w:id="127" w:name="_Toc357761416"/>
            <w:r w:rsidRPr="00F91EAD">
              <w:rPr>
                <w:rFonts w:eastAsia="Times New Roman"/>
                <w:color w:val="000000"/>
                <w:lang w:eastAsia="en-GB"/>
              </w:rPr>
              <w:t>Melbourne to Devonport (TT-Line)</w:t>
            </w:r>
            <w:bookmarkEnd w:id="127"/>
          </w:p>
        </w:tc>
        <w:tc>
          <w:tcPr>
            <w:tcW w:w="1474" w:type="dxa"/>
          </w:tcPr>
          <w:p w:rsidR="001D1810" w:rsidRPr="00F91EAD"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en-GB"/>
              </w:rPr>
            </w:pPr>
            <w:bookmarkStart w:id="128" w:name="_Toc357761417"/>
            <w:r w:rsidRPr="00F91EAD">
              <w:rPr>
                <w:rFonts w:eastAsia="Times New Roman"/>
                <w:color w:val="000000"/>
                <w:lang w:eastAsia="en-GB"/>
              </w:rPr>
              <w:t xml:space="preserve">Overnight </w:t>
            </w:r>
            <w:r w:rsidRPr="00F91EAD">
              <w:rPr>
                <w:rFonts w:eastAsia="Times New Roman"/>
                <w:color w:val="000000"/>
                <w:lang w:eastAsia="en-GB"/>
              </w:rPr>
              <w:br/>
              <w:t>10.5 to 11 hours</w:t>
            </w:r>
            <w:bookmarkEnd w:id="128"/>
          </w:p>
        </w:tc>
        <w:tc>
          <w:tcPr>
            <w:tcW w:w="1591" w:type="dxa"/>
          </w:tcPr>
          <w:p w:rsidR="001D1810" w:rsidRPr="00F91EAD"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en-GB"/>
              </w:rPr>
            </w:pPr>
            <w:bookmarkStart w:id="129" w:name="_Toc357761418"/>
            <w:r w:rsidRPr="00F91EAD">
              <w:rPr>
                <w:rFonts w:eastAsia="Times New Roman"/>
                <w:color w:val="000000"/>
                <w:lang w:eastAsia="en-GB"/>
              </w:rPr>
              <w:t>Trailer (dry)</w:t>
            </w:r>
            <w:bookmarkEnd w:id="129"/>
          </w:p>
        </w:tc>
        <w:tc>
          <w:tcPr>
            <w:tcW w:w="1474" w:type="dxa"/>
          </w:tcPr>
          <w:p w:rsidR="001D1810" w:rsidRPr="00F91EAD"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en-GB"/>
              </w:rPr>
            </w:pPr>
            <w:bookmarkStart w:id="130" w:name="_Toc357761419"/>
            <w:r w:rsidRPr="00F91EAD">
              <w:rPr>
                <w:rFonts w:eastAsia="Times New Roman"/>
                <w:color w:val="000000"/>
                <w:lang w:eastAsia="en-GB"/>
              </w:rPr>
              <w:t>$AUD130</w:t>
            </w:r>
            <w:bookmarkEnd w:id="130"/>
          </w:p>
        </w:tc>
        <w:tc>
          <w:tcPr>
            <w:tcW w:w="1474" w:type="dxa"/>
          </w:tcPr>
          <w:p w:rsidR="001D1810" w:rsidRPr="00F91EAD"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en-GB"/>
              </w:rPr>
            </w:pPr>
            <w:bookmarkStart w:id="131" w:name="_Toc357761420"/>
            <w:r w:rsidRPr="00F91EAD">
              <w:rPr>
                <w:rFonts w:eastAsia="Times New Roman"/>
                <w:color w:val="000000"/>
                <w:lang w:eastAsia="en-GB"/>
              </w:rPr>
              <w:t>$130</w:t>
            </w:r>
            <w:bookmarkEnd w:id="131"/>
          </w:p>
        </w:tc>
        <w:tc>
          <w:tcPr>
            <w:tcW w:w="1475" w:type="dxa"/>
          </w:tcPr>
          <w:p w:rsidR="001D1810" w:rsidRPr="00F91EAD"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en-GB"/>
              </w:rPr>
            </w:pPr>
            <w:bookmarkStart w:id="132" w:name="_Toc357761421"/>
            <w:r w:rsidRPr="00F91EAD">
              <w:rPr>
                <w:rFonts w:eastAsia="Times New Roman"/>
                <w:color w:val="000000"/>
                <w:lang w:eastAsia="en-GB"/>
              </w:rPr>
              <w:t>220 nm</w:t>
            </w:r>
            <w:bookmarkEnd w:id="132"/>
          </w:p>
        </w:tc>
      </w:tr>
      <w:tr w:rsidR="001D1810" w:rsidRPr="003209AF" w:rsidTr="0057495B">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2376" w:type="dxa"/>
            <w:tcBorders>
              <w:bottom w:val="single" w:sz="4" w:space="0" w:color="A6A6A6" w:themeColor="background1" w:themeShade="A6"/>
            </w:tcBorders>
          </w:tcPr>
          <w:p w:rsidR="001D1810" w:rsidRPr="00F91EAD" w:rsidRDefault="001D1810" w:rsidP="0057495B">
            <w:pPr>
              <w:pStyle w:val="Tables"/>
              <w:rPr>
                <w:rFonts w:eastAsia="Times New Roman"/>
                <w:color w:val="000000"/>
                <w:lang w:eastAsia="en-GB"/>
              </w:rPr>
            </w:pPr>
            <w:bookmarkStart w:id="133" w:name="_Toc357761422"/>
            <w:r w:rsidRPr="00F91EAD">
              <w:rPr>
                <w:rFonts w:eastAsia="Times New Roman"/>
                <w:color w:val="000000"/>
                <w:lang w:eastAsia="en-GB"/>
              </w:rPr>
              <w:t>Melbourne to Devonport</w:t>
            </w:r>
            <w:bookmarkEnd w:id="133"/>
            <w:r w:rsidRPr="00F91EAD">
              <w:rPr>
                <w:rFonts w:eastAsia="Times New Roman"/>
                <w:color w:val="000000"/>
                <w:lang w:eastAsia="en-GB"/>
              </w:rPr>
              <w:t xml:space="preserve"> </w:t>
            </w:r>
          </w:p>
        </w:tc>
        <w:tc>
          <w:tcPr>
            <w:tcW w:w="1474" w:type="dxa"/>
            <w:tcBorders>
              <w:bottom w:val="single" w:sz="4" w:space="0" w:color="A6A6A6" w:themeColor="background1" w:themeShade="A6"/>
            </w:tcBorders>
          </w:tcPr>
          <w:p w:rsidR="001D1810" w:rsidRPr="00F91EAD"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bookmarkStart w:id="134" w:name="_Toc357761423"/>
            <w:r w:rsidRPr="00F91EAD">
              <w:rPr>
                <w:rFonts w:eastAsia="Times New Roman"/>
                <w:color w:val="000000"/>
                <w:lang w:eastAsia="en-GB"/>
              </w:rPr>
              <w:t xml:space="preserve">Overnight </w:t>
            </w:r>
            <w:r w:rsidRPr="00F91EAD">
              <w:rPr>
                <w:rFonts w:eastAsia="Times New Roman"/>
                <w:color w:val="000000"/>
                <w:lang w:eastAsia="en-GB"/>
              </w:rPr>
              <w:br/>
              <w:t>10.5 to 11 hours</w:t>
            </w:r>
            <w:bookmarkEnd w:id="134"/>
          </w:p>
        </w:tc>
        <w:tc>
          <w:tcPr>
            <w:tcW w:w="1591" w:type="dxa"/>
            <w:tcBorders>
              <w:bottom w:val="single" w:sz="4" w:space="0" w:color="A6A6A6" w:themeColor="background1" w:themeShade="A6"/>
            </w:tcBorders>
          </w:tcPr>
          <w:p w:rsidR="001D1810" w:rsidRPr="00F91EAD"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bookmarkStart w:id="135" w:name="_Toc357761424"/>
            <w:r w:rsidRPr="00F91EAD">
              <w:rPr>
                <w:rFonts w:eastAsia="Times New Roman"/>
                <w:color w:val="000000"/>
                <w:lang w:eastAsia="en-GB"/>
              </w:rPr>
              <w:t xml:space="preserve">Reefer Trailer – premium </w:t>
            </w:r>
            <w:r>
              <w:rPr>
                <w:rFonts w:eastAsia="Times New Roman"/>
                <w:color w:val="000000"/>
                <w:lang w:eastAsia="en-GB"/>
              </w:rPr>
              <w:t>freight</w:t>
            </w:r>
            <w:bookmarkEnd w:id="135"/>
          </w:p>
        </w:tc>
        <w:tc>
          <w:tcPr>
            <w:tcW w:w="1474" w:type="dxa"/>
            <w:tcBorders>
              <w:bottom w:val="single" w:sz="4" w:space="0" w:color="A6A6A6" w:themeColor="background1" w:themeShade="A6"/>
            </w:tcBorders>
          </w:tcPr>
          <w:p w:rsidR="001D1810" w:rsidRPr="00F91EAD"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bookmarkStart w:id="136" w:name="_Toc357761425"/>
            <w:r w:rsidRPr="00F91EAD">
              <w:rPr>
                <w:rFonts w:eastAsia="Times New Roman"/>
                <w:color w:val="000000"/>
                <w:lang w:eastAsia="en-GB"/>
              </w:rPr>
              <w:t>$AUD170</w:t>
            </w:r>
            <w:bookmarkEnd w:id="136"/>
          </w:p>
        </w:tc>
        <w:tc>
          <w:tcPr>
            <w:tcW w:w="1474" w:type="dxa"/>
            <w:tcBorders>
              <w:bottom w:val="single" w:sz="4" w:space="0" w:color="A6A6A6" w:themeColor="background1" w:themeShade="A6"/>
            </w:tcBorders>
          </w:tcPr>
          <w:p w:rsidR="001D1810" w:rsidRPr="00F91EAD"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bookmarkStart w:id="137" w:name="_Toc357761426"/>
            <w:r w:rsidRPr="00F91EAD">
              <w:rPr>
                <w:rFonts w:eastAsia="Times New Roman"/>
                <w:color w:val="000000"/>
                <w:lang w:eastAsia="en-GB"/>
              </w:rPr>
              <w:t>$170</w:t>
            </w:r>
            <w:bookmarkEnd w:id="137"/>
          </w:p>
        </w:tc>
        <w:tc>
          <w:tcPr>
            <w:tcW w:w="1475" w:type="dxa"/>
            <w:tcBorders>
              <w:bottom w:val="single" w:sz="4" w:space="0" w:color="A6A6A6" w:themeColor="background1" w:themeShade="A6"/>
            </w:tcBorders>
          </w:tcPr>
          <w:p w:rsidR="001D1810" w:rsidRPr="00F91EAD"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bookmarkStart w:id="138" w:name="_Toc357761427"/>
            <w:r w:rsidRPr="00F91EAD">
              <w:rPr>
                <w:rFonts w:eastAsia="Times New Roman"/>
                <w:color w:val="000000"/>
                <w:lang w:eastAsia="en-GB"/>
              </w:rPr>
              <w:t>220 nm</w:t>
            </w:r>
            <w:bookmarkEnd w:id="138"/>
          </w:p>
        </w:tc>
      </w:tr>
      <w:tr w:rsidR="001D1810" w:rsidRPr="003209AF" w:rsidTr="00574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4" w:type="dxa"/>
            <w:gridSpan w:val="6"/>
            <w:tcBorders>
              <w:left w:val="nil"/>
              <w:bottom w:val="nil"/>
              <w:right w:val="nil"/>
            </w:tcBorders>
            <w:shd w:val="clear" w:color="auto" w:fill="auto"/>
          </w:tcPr>
          <w:p w:rsidR="001D1810" w:rsidRPr="00013722" w:rsidRDefault="001D1810" w:rsidP="0057495B">
            <w:pPr>
              <w:pStyle w:val="Tables"/>
            </w:pPr>
            <w:r>
              <w:t>$NZ</w:t>
            </w:r>
            <w:r w:rsidRPr="00333ED4">
              <w:t>D1 = $AUD0.</w:t>
            </w:r>
            <w:r>
              <w:t>83</w:t>
            </w:r>
          </w:p>
        </w:tc>
      </w:tr>
    </w:tbl>
    <w:p w:rsidR="001D1810" w:rsidRDefault="001D1810" w:rsidP="001D1810">
      <w:pPr>
        <w:pStyle w:val="Caption"/>
      </w:pPr>
      <w:bookmarkStart w:id="139" w:name="_Ref366766101"/>
      <w:bookmarkStart w:id="140" w:name="_Toc358297666"/>
      <w:bookmarkStart w:id="141" w:name="_Toc364161825"/>
      <w:bookmarkStart w:id="142" w:name="_Toc366769123"/>
      <w:r>
        <w:t xml:space="preserve">Table </w:t>
      </w:r>
      <w:r w:rsidR="00CA7023">
        <w:fldChar w:fldCharType="begin"/>
      </w:r>
      <w:r w:rsidR="009A1986">
        <w:instrText xml:space="preserve"> SEQ Table \* ARABIC </w:instrText>
      </w:r>
      <w:r w:rsidR="00CA7023">
        <w:fldChar w:fldCharType="separate"/>
      </w:r>
      <w:r w:rsidR="00FF5EB2">
        <w:rPr>
          <w:noProof/>
        </w:rPr>
        <w:t>6</w:t>
      </w:r>
      <w:r w:rsidR="00CA7023">
        <w:fldChar w:fldCharType="end"/>
      </w:r>
      <w:bookmarkEnd w:id="139"/>
      <w:r>
        <w:t xml:space="preserve">: </w:t>
      </w:r>
      <w:r w:rsidR="00AF6026">
        <w:t>RORO</w:t>
      </w:r>
      <w:r w:rsidRPr="009478DD">
        <w:t xml:space="preserve"> Ferry Services – Australia and New Zealand</w:t>
      </w:r>
      <w:bookmarkEnd w:id="140"/>
      <w:bookmarkEnd w:id="141"/>
      <w:bookmarkEnd w:id="142"/>
    </w:p>
    <w:p w:rsidR="001D1810" w:rsidRDefault="001D1810" w:rsidP="008B1A70"/>
    <w:p w:rsidR="001D1810" w:rsidRDefault="001D1810" w:rsidP="00EF4C68">
      <w:pPr>
        <w:pStyle w:val="Heading3"/>
      </w:pPr>
      <w:r>
        <w:lastRenderedPageBreak/>
        <w:t xml:space="preserve"> </w:t>
      </w:r>
      <w:bookmarkStart w:id="143" w:name="_Toc367700233"/>
      <w:r>
        <w:t xml:space="preserve">Comparison of </w:t>
      </w:r>
      <w:r w:rsidR="003925FA">
        <w:t>S</w:t>
      </w:r>
      <w:r>
        <w:t xml:space="preserve">ervices and </w:t>
      </w:r>
      <w:r w:rsidR="003925FA">
        <w:t>R</w:t>
      </w:r>
      <w:r>
        <w:t xml:space="preserve">ates </w:t>
      </w:r>
      <w:r w:rsidR="003925FA">
        <w:t>A</w:t>
      </w:r>
      <w:r>
        <w:t>cross the North Sea</w:t>
      </w:r>
      <w:bookmarkEnd w:id="143"/>
    </w:p>
    <w:p w:rsidR="001D1810" w:rsidRDefault="001D1810" w:rsidP="001D1810">
      <w:r>
        <w:t xml:space="preserve">For the second international benchmark, Aurecon sought to identify services </w:t>
      </w:r>
      <w:r w:rsidRPr="002D319C">
        <w:t xml:space="preserve">that </w:t>
      </w:r>
      <w:r>
        <w:t>of</w:t>
      </w:r>
      <w:r w:rsidRPr="002D319C">
        <w:t xml:space="preserve"> approximately the same voyage distance as Bass Strait services which is 220 nautical miles </w:t>
      </w:r>
      <w:r>
        <w:t xml:space="preserve">(nm) </w:t>
      </w:r>
      <w:r w:rsidRPr="002D319C">
        <w:t>or about 400km. This distance lends itself to overnight services.</w:t>
      </w:r>
      <w:r>
        <w:t xml:space="preserve">  </w:t>
      </w:r>
      <w:r w:rsidRPr="002D319C">
        <w:t>While the sea distance between ports has a bearing on freight costs, it is not a linear relation</w:t>
      </w:r>
      <w:r>
        <w:t>ships</w:t>
      </w:r>
      <w:r w:rsidRPr="002D319C">
        <w:t xml:space="preserve"> and is not the most important factor. </w:t>
      </w:r>
      <w:r>
        <w:t xml:space="preserve"> O</w:t>
      </w:r>
      <w:r w:rsidRPr="002D319C">
        <w:t xml:space="preserve">vernight service is </w:t>
      </w:r>
      <w:r>
        <w:t>a</w:t>
      </w:r>
      <w:r w:rsidRPr="002D319C">
        <w:t xml:space="preserve"> service feature </w:t>
      </w:r>
      <w:r>
        <w:t xml:space="preserve">that </w:t>
      </w:r>
      <w:r w:rsidRPr="002D319C">
        <w:t xml:space="preserve">affects the nature of the supply chain for commercial freight users; </w:t>
      </w:r>
      <w:r>
        <w:t>with</w:t>
      </w:r>
      <w:r w:rsidRPr="002D319C">
        <w:t xml:space="preserve"> freight rates more linked to the type of service. </w:t>
      </w:r>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1895"/>
        <w:gridCol w:w="7144"/>
      </w:tblGrid>
      <w:tr w:rsidR="001D1810" w:rsidRPr="00D75FE8" w:rsidTr="0057495B">
        <w:trPr>
          <w:cnfStyle w:val="000000010000" w:firstRow="0" w:lastRow="0" w:firstColumn="0" w:lastColumn="0" w:oddVBand="0" w:evenVBand="0" w:oddHBand="0" w:evenHBand="1" w:firstRowFirstColumn="0" w:firstRowLastColumn="0" w:lastRowFirstColumn="0" w:lastRowLastColumn="0"/>
          <w:trHeight w:val="551"/>
          <w:tblHeader/>
        </w:trPr>
        <w:tc>
          <w:tcPr>
            <w:tcW w:w="1895" w:type="dxa"/>
            <w:shd w:val="clear" w:color="auto" w:fill="EFF0EF" w:themeFill="accent4"/>
            <w:vAlign w:val="center"/>
          </w:tcPr>
          <w:p w:rsidR="001D1810" w:rsidRPr="00F91EAD" w:rsidRDefault="001D1810" w:rsidP="0057495B">
            <w:pPr>
              <w:pStyle w:val="ListParagraph"/>
              <w:spacing w:before="0" w:after="0"/>
              <w:ind w:left="0" w:right="-62"/>
              <w:jc w:val="center"/>
              <w:rPr>
                <w:b/>
              </w:rPr>
            </w:pPr>
            <w:r w:rsidRPr="00F91EAD">
              <w:rPr>
                <w:b/>
              </w:rPr>
              <w:t>Observation</w:t>
            </w:r>
          </w:p>
        </w:tc>
        <w:tc>
          <w:tcPr>
            <w:tcW w:w="7144" w:type="dxa"/>
            <w:shd w:val="clear" w:color="auto" w:fill="auto"/>
            <w:vAlign w:val="center"/>
          </w:tcPr>
          <w:p w:rsidR="001D1810" w:rsidRPr="00F91EAD" w:rsidRDefault="001D1810" w:rsidP="0057495B">
            <w:pPr>
              <w:spacing w:before="0" w:after="0"/>
              <w:ind w:right="-62"/>
              <w:jc w:val="center"/>
              <w:rPr>
                <w:b/>
              </w:rPr>
            </w:pPr>
            <w:r w:rsidRPr="00F91EAD">
              <w:rPr>
                <w:b/>
              </w:rPr>
              <w:t>Comment</w:t>
            </w:r>
          </w:p>
        </w:tc>
      </w:tr>
      <w:tr w:rsidR="001D1810" w:rsidRPr="00D75FE8" w:rsidTr="0057495B">
        <w:tc>
          <w:tcPr>
            <w:tcW w:w="1895" w:type="dxa"/>
            <w:shd w:val="clear" w:color="auto" w:fill="EFF0EF" w:themeFill="accent4"/>
          </w:tcPr>
          <w:p w:rsidR="001D1810" w:rsidRPr="00767A8D" w:rsidRDefault="001D1810" w:rsidP="0057495B">
            <w:pPr>
              <w:pStyle w:val="Tables"/>
              <w:rPr>
                <w:b/>
              </w:rPr>
            </w:pPr>
            <w:r w:rsidRPr="00767A8D">
              <w:rPr>
                <w:b/>
              </w:rPr>
              <w:t>Immingham (UK) and Rotterdam (Netherlands) and Immingham and Cuxhaven (Germany).</w:t>
            </w:r>
          </w:p>
        </w:tc>
        <w:tc>
          <w:tcPr>
            <w:tcW w:w="7144" w:type="dxa"/>
            <w:shd w:val="clear" w:color="auto" w:fill="auto"/>
          </w:tcPr>
          <w:p w:rsidR="001D1810" w:rsidRPr="00F91EAD" w:rsidRDefault="001D1810" w:rsidP="00AF6026">
            <w:pPr>
              <w:pStyle w:val="Bullet1"/>
              <w:numPr>
                <w:ilvl w:val="0"/>
                <w:numId w:val="0"/>
              </w:numPr>
              <w:rPr>
                <w:rFonts w:eastAsiaTheme="majorEastAsia"/>
                <w:b/>
                <w:bCs/>
                <w:color w:val="7AB800" w:themeColor="accent1"/>
              </w:rPr>
            </w:pPr>
            <w:r w:rsidRPr="002D319C">
              <w:t xml:space="preserve">The </w:t>
            </w:r>
            <w:r>
              <w:t>N</w:t>
            </w:r>
            <w:r w:rsidRPr="002D319C">
              <w:t>orth-</w:t>
            </w:r>
            <w:r>
              <w:t>S</w:t>
            </w:r>
            <w:r w:rsidRPr="002D319C">
              <w:t xml:space="preserve">ea and Baltic have numerous </w:t>
            </w:r>
            <w:r w:rsidR="00AF6026">
              <w:t>RORO</w:t>
            </w:r>
            <w:r w:rsidRPr="002D319C">
              <w:t xml:space="preserve"> ferry services which have a wide combination of service types from mainly freight</w:t>
            </w:r>
            <w:r>
              <w:t>,</w:t>
            </w:r>
            <w:r w:rsidRPr="002D319C">
              <w:t xml:space="preserve"> to passenger and freight</w:t>
            </w:r>
            <w:r>
              <w:t>,</w:t>
            </w:r>
            <w:r w:rsidRPr="002D319C">
              <w:t xml:space="preserve"> to mainly passenger services</w:t>
            </w:r>
            <w:r>
              <w:t xml:space="preserve"> (and c</w:t>
            </w:r>
            <w:r w:rsidRPr="002D319C">
              <w:t xml:space="preserve">onsequently the type of </w:t>
            </w:r>
            <w:r w:rsidR="00AF6026">
              <w:t>RORO</w:t>
            </w:r>
            <w:r w:rsidRPr="002D319C">
              <w:t xml:space="preserve"> </w:t>
            </w:r>
            <w:r>
              <w:t>vessel</w:t>
            </w:r>
            <w:r w:rsidRPr="002D319C">
              <w:t xml:space="preserve"> </w:t>
            </w:r>
            <w:r>
              <w:t xml:space="preserve">used also varies very widely).  Aurecon selected the DFDS operated </w:t>
            </w:r>
            <w:r w:rsidR="00AF6026">
              <w:t>RORO</w:t>
            </w:r>
            <w:r>
              <w:t xml:space="preserve"> freight oriented service to benchmark.</w:t>
            </w:r>
            <w:r w:rsidRPr="002D319C">
              <w:t xml:space="preserve"> DFDS are a large Danish group and they operate a large number of services of varying types in the North Sea and Baltic. </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Pr>
        <w:tc>
          <w:tcPr>
            <w:tcW w:w="1895" w:type="dxa"/>
            <w:shd w:val="clear" w:color="auto" w:fill="EFF0EF" w:themeFill="accent4"/>
          </w:tcPr>
          <w:p w:rsidR="001D1810" w:rsidRPr="00767A8D" w:rsidRDefault="001D1810" w:rsidP="0057495B">
            <w:pPr>
              <w:pStyle w:val="Tables"/>
              <w:rPr>
                <w:b/>
              </w:rPr>
            </w:pPr>
            <w:r w:rsidRPr="00767A8D">
              <w:rPr>
                <w:b/>
              </w:rPr>
              <w:t xml:space="preserve">Similarities of the DFDS </w:t>
            </w:r>
            <w:r w:rsidR="003925FA">
              <w:rPr>
                <w:b/>
              </w:rPr>
              <w:t>S</w:t>
            </w:r>
            <w:r w:rsidRPr="00767A8D">
              <w:rPr>
                <w:b/>
              </w:rPr>
              <w:t xml:space="preserve">ervice with Bass Strait </w:t>
            </w:r>
            <w:r w:rsidR="003925FA">
              <w:rPr>
                <w:b/>
              </w:rPr>
              <w:t>S</w:t>
            </w:r>
            <w:r w:rsidRPr="00767A8D">
              <w:rPr>
                <w:b/>
              </w:rPr>
              <w:t>ervices</w:t>
            </w:r>
          </w:p>
        </w:tc>
        <w:tc>
          <w:tcPr>
            <w:tcW w:w="7144" w:type="dxa"/>
            <w:shd w:val="clear" w:color="auto" w:fill="auto"/>
          </w:tcPr>
          <w:p w:rsidR="001D1810" w:rsidRDefault="001D1810" w:rsidP="0057495B">
            <w:pPr>
              <w:pStyle w:val="Bullet1"/>
              <w:numPr>
                <w:ilvl w:val="0"/>
                <w:numId w:val="0"/>
              </w:numPr>
            </w:pPr>
            <w:r w:rsidRPr="002D319C">
              <w:t>The sea distance from Immingham to Rotterdam is 205 nm which is very close to the</w:t>
            </w:r>
            <w:r>
              <w:t xml:space="preserve"> voyage distance across</w:t>
            </w:r>
            <w:r w:rsidRPr="002D319C">
              <w:t xml:space="preserve"> Bass Strait;</w:t>
            </w:r>
            <w:r>
              <w:t xml:space="preserve"> however </w:t>
            </w:r>
            <w:r w:rsidRPr="002D319C">
              <w:t xml:space="preserve">the distance from Immingham to Cuxhaven is </w:t>
            </w:r>
            <w:r>
              <w:t xml:space="preserve">further at </w:t>
            </w:r>
            <w:r w:rsidRPr="002D319C">
              <w:t>about 330 nm</w:t>
            </w:r>
            <w:r>
              <w:t>.</w:t>
            </w:r>
          </w:p>
          <w:p w:rsidR="001D1810" w:rsidRDefault="001D1810" w:rsidP="0057495B">
            <w:pPr>
              <w:pStyle w:val="Bullet1"/>
              <w:numPr>
                <w:ilvl w:val="0"/>
                <w:numId w:val="0"/>
              </w:numPr>
            </w:pPr>
            <w:r>
              <w:t>DFDS</w:t>
            </w:r>
            <w:r w:rsidRPr="002D319C">
              <w:t xml:space="preserve"> are freight oriented. They accept road trailers with accompanying drivers or road trailers without the accompanying drivers. </w:t>
            </w:r>
          </w:p>
          <w:p w:rsidR="001D1810" w:rsidRDefault="001D1810" w:rsidP="0057495B">
            <w:pPr>
              <w:pStyle w:val="Bullet1"/>
              <w:numPr>
                <w:ilvl w:val="0"/>
                <w:numId w:val="0"/>
              </w:numPr>
            </w:pPr>
            <w:r w:rsidRPr="002D319C">
              <w:t xml:space="preserve">The service to Rotterdam is an overnight service. The Cuxhaven service takes about 24 hours. </w:t>
            </w:r>
          </w:p>
          <w:p w:rsidR="001D1810" w:rsidRDefault="001D1810" w:rsidP="0057495B">
            <w:pPr>
              <w:pStyle w:val="Bullet1"/>
              <w:numPr>
                <w:ilvl w:val="0"/>
                <w:numId w:val="0"/>
              </w:numPr>
            </w:pPr>
            <w:r>
              <w:t>DFDS</w:t>
            </w:r>
            <w:r w:rsidRPr="002D319C">
              <w:t xml:space="preserve"> accept containers on trailers, or containers independently which are loaded onto Mafi type trailers, road trailers of various sizes and refrigerated containers and trailers. </w:t>
            </w:r>
          </w:p>
          <w:p w:rsidR="001D1810" w:rsidRDefault="001D1810" w:rsidP="0057495B">
            <w:pPr>
              <w:pStyle w:val="Bullet1"/>
              <w:numPr>
                <w:ilvl w:val="0"/>
                <w:numId w:val="0"/>
              </w:numPr>
              <w:rPr>
                <w:rFonts w:eastAsiaTheme="majorEastAsia"/>
                <w:bCs/>
                <w:color w:val="7AB800" w:themeColor="accent1"/>
              </w:rPr>
            </w:pPr>
            <w:r>
              <w:t xml:space="preserve">DFDS offer a 6 day a week service. </w:t>
            </w:r>
          </w:p>
        </w:tc>
      </w:tr>
      <w:tr w:rsidR="001D1810" w:rsidRPr="00D75FE8" w:rsidTr="0057495B">
        <w:tc>
          <w:tcPr>
            <w:tcW w:w="1895" w:type="dxa"/>
            <w:shd w:val="clear" w:color="auto" w:fill="EFF0EF" w:themeFill="accent4"/>
          </w:tcPr>
          <w:p w:rsidR="001D1810" w:rsidRPr="00767A8D" w:rsidRDefault="001D1810" w:rsidP="0057495B">
            <w:pPr>
              <w:pStyle w:val="Tables"/>
              <w:rPr>
                <w:b/>
              </w:rPr>
            </w:pPr>
            <w:r w:rsidRPr="00767A8D">
              <w:rPr>
                <w:b/>
              </w:rPr>
              <w:t xml:space="preserve">Differences </w:t>
            </w:r>
            <w:r w:rsidR="003925FA">
              <w:rPr>
                <w:b/>
              </w:rPr>
              <w:t>B</w:t>
            </w:r>
            <w:r w:rsidRPr="00767A8D">
              <w:rPr>
                <w:b/>
              </w:rPr>
              <w:t xml:space="preserve">etween the DFDS </w:t>
            </w:r>
            <w:r w:rsidR="003925FA">
              <w:rPr>
                <w:b/>
              </w:rPr>
              <w:t>S</w:t>
            </w:r>
            <w:r w:rsidRPr="00767A8D">
              <w:rPr>
                <w:b/>
              </w:rPr>
              <w:t>ervice with Bass Strait</w:t>
            </w:r>
          </w:p>
        </w:tc>
        <w:tc>
          <w:tcPr>
            <w:tcW w:w="7144" w:type="dxa"/>
            <w:shd w:val="clear" w:color="auto" w:fill="auto"/>
          </w:tcPr>
          <w:p w:rsidR="001D1810" w:rsidRDefault="001D1810" w:rsidP="0057495B">
            <w:pPr>
              <w:pStyle w:val="Bullet1"/>
              <w:numPr>
                <w:ilvl w:val="0"/>
                <w:numId w:val="0"/>
              </w:numPr>
            </w:pPr>
            <w:r w:rsidRPr="002D319C">
              <w:t xml:space="preserve">These services operate between two countries hence cabotage rules do not apply. </w:t>
            </w:r>
          </w:p>
          <w:p w:rsidR="001D1810" w:rsidRDefault="001D1810" w:rsidP="0057495B">
            <w:pPr>
              <w:pStyle w:val="Bullet1"/>
              <w:numPr>
                <w:ilvl w:val="0"/>
                <w:numId w:val="0"/>
              </w:numPr>
            </w:pPr>
            <w:r>
              <w:t>C</w:t>
            </w:r>
            <w:r w:rsidRPr="002D319C">
              <w:t xml:space="preserve">ommonly </w:t>
            </w:r>
            <w:r>
              <w:t>vessel</w:t>
            </w:r>
            <w:r w:rsidRPr="002D319C">
              <w:t>s in these tra</w:t>
            </w:r>
            <w:r>
              <w:t xml:space="preserve">des employ east European crews whose </w:t>
            </w:r>
            <w:r w:rsidRPr="002D319C">
              <w:t>wages are less than Australian but more t</w:t>
            </w:r>
            <w:r>
              <w:t>han Asian wages.</w:t>
            </w:r>
          </w:p>
          <w:p w:rsidR="001D1810" w:rsidRDefault="001D1810" w:rsidP="0057495B">
            <w:pPr>
              <w:pStyle w:val="Bullet1"/>
              <w:numPr>
                <w:ilvl w:val="0"/>
                <w:numId w:val="0"/>
              </w:numPr>
            </w:pPr>
            <w:r w:rsidRPr="002D319C">
              <w:t xml:space="preserve">The population of the UK and Europe is larger than Australia. </w:t>
            </w:r>
          </w:p>
          <w:p w:rsidR="001D1810" w:rsidRDefault="001D1810" w:rsidP="0057495B">
            <w:pPr>
              <w:pStyle w:val="Bullet1"/>
              <w:numPr>
                <w:ilvl w:val="0"/>
                <w:numId w:val="0"/>
              </w:numPr>
            </w:pPr>
            <w:r w:rsidRPr="002D319C">
              <w:t xml:space="preserve">There is substantial competition in the provision of services because </w:t>
            </w:r>
            <w:r>
              <w:t>shippers</w:t>
            </w:r>
            <w:r w:rsidRPr="002D319C">
              <w:t xml:space="preserve"> have more choice of routes and ports </w:t>
            </w:r>
            <w:r>
              <w:t>than</w:t>
            </w:r>
            <w:r w:rsidRPr="002D319C">
              <w:t xml:space="preserve"> </w:t>
            </w:r>
            <w:r>
              <w:t>across</w:t>
            </w:r>
            <w:r w:rsidRPr="002D319C">
              <w:t xml:space="preserve"> Bass Strait.</w:t>
            </w:r>
          </w:p>
          <w:p w:rsidR="001D1810" w:rsidRDefault="001D1810" w:rsidP="00747377">
            <w:pPr>
              <w:pStyle w:val="Bullet1"/>
              <w:keepNext/>
              <w:numPr>
                <w:ilvl w:val="0"/>
                <w:numId w:val="0"/>
              </w:numPr>
              <w:rPr>
                <w:rFonts w:eastAsiaTheme="majorEastAsia"/>
                <w:bCs/>
                <w:color w:val="7AB800" w:themeColor="accent1"/>
              </w:rPr>
            </w:pPr>
            <w:r w:rsidRPr="002D319C">
              <w:t>Rotterdam (and northern Europe in some ports) is known to be a port with t</w:t>
            </w:r>
            <w:r>
              <w:t>he cheapest bunker fuel prices which benefits the DFDS operator.</w:t>
            </w:r>
          </w:p>
        </w:tc>
      </w:tr>
    </w:tbl>
    <w:p w:rsidR="001D1810" w:rsidRDefault="00747377" w:rsidP="00747377">
      <w:pPr>
        <w:pStyle w:val="Caption"/>
      </w:pPr>
      <w:bookmarkStart w:id="144" w:name="_Toc366769124"/>
      <w:r>
        <w:t xml:space="preserve">Table </w:t>
      </w:r>
      <w:r w:rsidR="00CA7023">
        <w:fldChar w:fldCharType="begin"/>
      </w:r>
      <w:r>
        <w:instrText xml:space="preserve"> SEQ Table \* ARABIC </w:instrText>
      </w:r>
      <w:r w:rsidR="00CA7023">
        <w:fldChar w:fldCharType="separate"/>
      </w:r>
      <w:r w:rsidR="00FF5EB2">
        <w:rPr>
          <w:noProof/>
        </w:rPr>
        <w:t>7</w:t>
      </w:r>
      <w:r w:rsidR="00CA7023">
        <w:fldChar w:fldCharType="end"/>
      </w:r>
      <w:r>
        <w:t xml:space="preserve">: </w:t>
      </w:r>
      <w:r w:rsidRPr="002D41E7">
        <w:t xml:space="preserve">Comparison of </w:t>
      </w:r>
      <w:r w:rsidR="003925FA">
        <w:t>S</w:t>
      </w:r>
      <w:r w:rsidRPr="002D41E7">
        <w:t xml:space="preserve">ervices and </w:t>
      </w:r>
      <w:r w:rsidR="003925FA">
        <w:t>R</w:t>
      </w:r>
      <w:r w:rsidRPr="002D41E7">
        <w:t xml:space="preserve">ates </w:t>
      </w:r>
      <w:r w:rsidR="003925FA">
        <w:t>A</w:t>
      </w:r>
      <w:r w:rsidRPr="002D41E7">
        <w:t>cross the North Sea</w:t>
      </w:r>
      <w:bookmarkEnd w:id="144"/>
    </w:p>
    <w:p w:rsidR="001D1810" w:rsidRDefault="001D1810" w:rsidP="001D1810">
      <w:pPr>
        <w:ind w:right="-64"/>
        <w:jc w:val="left"/>
      </w:pPr>
      <w:r>
        <w:br w:type="page"/>
      </w:r>
      <w:r w:rsidR="00CA7023">
        <w:lastRenderedPageBreak/>
        <w:fldChar w:fldCharType="begin"/>
      </w:r>
      <w:r>
        <w:instrText xml:space="preserve"> REF _Ref358721858 \h </w:instrText>
      </w:r>
      <w:r w:rsidR="00CA7023">
        <w:fldChar w:fldCharType="separate"/>
      </w:r>
      <w:r w:rsidR="00FF5EB2">
        <w:t xml:space="preserve">Table </w:t>
      </w:r>
      <w:r w:rsidR="00FF5EB2">
        <w:rPr>
          <w:noProof/>
        </w:rPr>
        <w:t>8</w:t>
      </w:r>
      <w:r w:rsidR="00CA7023">
        <w:fldChar w:fldCharType="end"/>
      </w:r>
      <w:r>
        <w:t xml:space="preserve"> shows a sample of Immingham</w:t>
      </w:r>
      <w:r w:rsidR="009A1986">
        <w:t xml:space="preserve"> </w:t>
      </w:r>
      <w:r w:rsidR="00AF6026">
        <w:t>RORO</w:t>
      </w:r>
      <w:r>
        <w:t xml:space="preserve"> ferry service freight rates.</w:t>
      </w:r>
    </w:p>
    <w:tbl>
      <w:tblPr>
        <w:tblStyle w:val="Style1"/>
        <w:tblW w:w="9072" w:type="dxa"/>
        <w:tblLayout w:type="fixed"/>
        <w:tblLook w:val="04A0" w:firstRow="1" w:lastRow="0" w:firstColumn="1" w:lastColumn="0" w:noHBand="0" w:noVBand="1"/>
      </w:tblPr>
      <w:tblGrid>
        <w:gridCol w:w="2049"/>
        <w:gridCol w:w="1603"/>
        <w:gridCol w:w="1701"/>
        <w:gridCol w:w="1126"/>
        <w:gridCol w:w="1296"/>
        <w:gridCol w:w="1297"/>
      </w:tblGrid>
      <w:tr w:rsidR="001D1810" w:rsidRPr="008D349B" w:rsidTr="005749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9" w:type="dxa"/>
          </w:tcPr>
          <w:p w:rsidR="001D1810" w:rsidRPr="00F0686C" w:rsidRDefault="001D1810" w:rsidP="0057495B">
            <w:pPr>
              <w:pStyle w:val="Tables"/>
              <w:spacing w:before="144" w:after="144"/>
              <w:jc w:val="center"/>
              <w:rPr>
                <w:b w:val="0"/>
              </w:rPr>
            </w:pPr>
            <w:r w:rsidRPr="00F0686C">
              <w:t>Route</w:t>
            </w:r>
          </w:p>
        </w:tc>
        <w:tc>
          <w:tcPr>
            <w:tcW w:w="1603" w:type="dxa"/>
          </w:tcPr>
          <w:p w:rsidR="001D1810" w:rsidRPr="00F0686C" w:rsidRDefault="001D1810" w:rsidP="0057495B">
            <w:pPr>
              <w:pStyle w:val="Tables"/>
              <w:spacing w:before="144" w:after="144"/>
              <w:jc w:val="center"/>
              <w:cnfStyle w:val="100000000000" w:firstRow="1" w:lastRow="0" w:firstColumn="0" w:lastColumn="0" w:oddVBand="0" w:evenVBand="0" w:oddHBand="0" w:evenHBand="0" w:firstRowFirstColumn="0" w:firstRowLastColumn="0" w:lastRowFirstColumn="0" w:lastRowLastColumn="0"/>
              <w:rPr>
                <w:b w:val="0"/>
              </w:rPr>
            </w:pPr>
            <w:r w:rsidRPr="00F0686C">
              <w:t>Service</w:t>
            </w:r>
          </w:p>
        </w:tc>
        <w:tc>
          <w:tcPr>
            <w:tcW w:w="1701" w:type="dxa"/>
          </w:tcPr>
          <w:p w:rsidR="001D1810" w:rsidRPr="00F0686C" w:rsidRDefault="001D1810" w:rsidP="0057495B">
            <w:pPr>
              <w:pStyle w:val="Tables"/>
              <w:spacing w:before="144" w:after="144"/>
              <w:jc w:val="center"/>
              <w:cnfStyle w:val="100000000000" w:firstRow="1" w:lastRow="0" w:firstColumn="0" w:lastColumn="0" w:oddVBand="0" w:evenVBand="0" w:oddHBand="0" w:evenHBand="0" w:firstRowFirstColumn="0" w:firstRowLastColumn="0" w:lastRowFirstColumn="0" w:lastRowLastColumn="0"/>
              <w:rPr>
                <w:b w:val="0"/>
              </w:rPr>
            </w:pPr>
            <w:r w:rsidRPr="00F0686C">
              <w:t>Configuration</w:t>
            </w:r>
          </w:p>
        </w:tc>
        <w:tc>
          <w:tcPr>
            <w:tcW w:w="1126" w:type="dxa"/>
          </w:tcPr>
          <w:p w:rsidR="001D1810" w:rsidRPr="00F0686C" w:rsidRDefault="001D1810" w:rsidP="0057495B">
            <w:pPr>
              <w:pStyle w:val="Tables"/>
              <w:spacing w:before="144" w:after="144"/>
              <w:jc w:val="center"/>
              <w:cnfStyle w:val="100000000000" w:firstRow="1" w:lastRow="0" w:firstColumn="0" w:lastColumn="0" w:oddVBand="0" w:evenVBand="0" w:oddHBand="0" w:evenHBand="0" w:firstRowFirstColumn="0" w:firstRowLastColumn="0" w:lastRowFirstColumn="0" w:lastRowLastColumn="0"/>
              <w:rPr>
                <w:b w:val="0"/>
              </w:rPr>
            </w:pPr>
            <w:r w:rsidRPr="00F0686C">
              <w:t>Price €</w:t>
            </w:r>
          </w:p>
        </w:tc>
        <w:tc>
          <w:tcPr>
            <w:tcW w:w="1296" w:type="dxa"/>
          </w:tcPr>
          <w:p w:rsidR="001D1810" w:rsidRPr="00F0686C" w:rsidRDefault="001D1810" w:rsidP="0057495B">
            <w:pPr>
              <w:pStyle w:val="Tables"/>
              <w:spacing w:before="144" w:after="144"/>
              <w:jc w:val="center"/>
              <w:cnfStyle w:val="100000000000" w:firstRow="1" w:lastRow="0" w:firstColumn="0" w:lastColumn="0" w:oddVBand="0" w:evenVBand="0" w:oddHBand="0" w:evenHBand="0" w:firstRowFirstColumn="0" w:firstRowLastColumn="0" w:lastRowFirstColumn="0" w:lastRowLastColumn="0"/>
              <w:rPr>
                <w:b w:val="0"/>
              </w:rPr>
            </w:pPr>
            <w:r w:rsidRPr="00F0686C">
              <w:t>Price $AUD*</w:t>
            </w:r>
          </w:p>
        </w:tc>
        <w:tc>
          <w:tcPr>
            <w:tcW w:w="1297" w:type="dxa"/>
          </w:tcPr>
          <w:p w:rsidR="001D1810" w:rsidRPr="00F0686C" w:rsidRDefault="001D1810" w:rsidP="0057495B">
            <w:pPr>
              <w:pStyle w:val="Tables"/>
              <w:spacing w:before="144" w:after="144"/>
              <w:jc w:val="center"/>
              <w:cnfStyle w:val="100000000000" w:firstRow="1" w:lastRow="0" w:firstColumn="0" w:lastColumn="0" w:oddVBand="0" w:evenVBand="0" w:oddHBand="0" w:evenHBand="0" w:firstRowFirstColumn="0" w:firstRowLastColumn="0" w:lastRowFirstColumn="0" w:lastRowLastColumn="0"/>
              <w:rPr>
                <w:b w:val="0"/>
              </w:rPr>
            </w:pPr>
            <w:r w:rsidRPr="00F0686C">
              <w:t>Distance</w:t>
            </w:r>
          </w:p>
        </w:tc>
      </w:tr>
      <w:tr w:rsidR="001D1810" w:rsidRPr="00333ED4" w:rsidTr="00574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9" w:type="dxa"/>
          </w:tcPr>
          <w:p w:rsidR="001D1810" w:rsidRPr="00E61F02" w:rsidRDefault="001D1810" w:rsidP="0057495B">
            <w:pPr>
              <w:pStyle w:val="Tables"/>
              <w:jc w:val="center"/>
            </w:pPr>
            <w:r w:rsidRPr="00E61F02">
              <w:t>DFDS Immingham to Rotterdam</w:t>
            </w:r>
          </w:p>
        </w:tc>
        <w:tc>
          <w:tcPr>
            <w:tcW w:w="1603" w:type="dxa"/>
          </w:tcPr>
          <w:p w:rsidR="001D1810" w:rsidRPr="00E61F0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r w:rsidRPr="00E61F02">
              <w:t>Overnight, 12 hour transit</w:t>
            </w:r>
          </w:p>
        </w:tc>
        <w:tc>
          <w:tcPr>
            <w:tcW w:w="1701" w:type="dxa"/>
          </w:tcPr>
          <w:p w:rsidR="001D1810" w:rsidRPr="00E61F0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r w:rsidRPr="00E61F02">
              <w:t>Trailer (dry)</w:t>
            </w:r>
          </w:p>
        </w:tc>
        <w:tc>
          <w:tcPr>
            <w:tcW w:w="1126" w:type="dxa"/>
          </w:tcPr>
          <w:p w:rsidR="001D1810" w:rsidRPr="00E61F0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r w:rsidRPr="00E61F02">
              <w:t>€ 428.75</w:t>
            </w:r>
          </w:p>
        </w:tc>
        <w:tc>
          <w:tcPr>
            <w:tcW w:w="1296" w:type="dxa"/>
          </w:tcPr>
          <w:p w:rsidR="001D1810" w:rsidRPr="00E61F0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r w:rsidRPr="00E61F02">
              <w:t>$714</w:t>
            </w:r>
          </w:p>
        </w:tc>
        <w:tc>
          <w:tcPr>
            <w:tcW w:w="1297" w:type="dxa"/>
          </w:tcPr>
          <w:p w:rsidR="001D1810" w:rsidRPr="00E61F0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r w:rsidRPr="00E61F02">
              <w:t>205 nm</w:t>
            </w:r>
          </w:p>
        </w:tc>
      </w:tr>
      <w:tr w:rsidR="001D1810" w:rsidRPr="00333ED4" w:rsidTr="00574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9" w:type="dxa"/>
          </w:tcPr>
          <w:p w:rsidR="001D1810" w:rsidRPr="00E61F02" w:rsidRDefault="001D1810" w:rsidP="0057495B">
            <w:pPr>
              <w:pStyle w:val="Tables"/>
              <w:jc w:val="center"/>
            </w:pPr>
          </w:p>
        </w:tc>
        <w:tc>
          <w:tcPr>
            <w:tcW w:w="1603" w:type="dxa"/>
          </w:tcPr>
          <w:p w:rsidR="001D1810" w:rsidRPr="00E61F0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p>
        </w:tc>
        <w:tc>
          <w:tcPr>
            <w:tcW w:w="1701" w:type="dxa"/>
          </w:tcPr>
          <w:p w:rsidR="001D1810" w:rsidRPr="00E61F0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r w:rsidRPr="00E61F02">
              <w:t>20ft GP**</w:t>
            </w:r>
          </w:p>
        </w:tc>
        <w:tc>
          <w:tcPr>
            <w:tcW w:w="1126" w:type="dxa"/>
          </w:tcPr>
          <w:p w:rsidR="001D1810" w:rsidRPr="00E61F0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r w:rsidRPr="00E61F02">
              <w:t>€ 361.37</w:t>
            </w:r>
          </w:p>
        </w:tc>
        <w:tc>
          <w:tcPr>
            <w:tcW w:w="1296" w:type="dxa"/>
          </w:tcPr>
          <w:p w:rsidR="001D1810" w:rsidRPr="00E61F0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r w:rsidRPr="00E61F02">
              <w:t>$612</w:t>
            </w:r>
          </w:p>
        </w:tc>
        <w:tc>
          <w:tcPr>
            <w:tcW w:w="1297" w:type="dxa"/>
          </w:tcPr>
          <w:p w:rsidR="001D1810" w:rsidRPr="00E61F0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p>
        </w:tc>
      </w:tr>
      <w:tr w:rsidR="001D1810" w:rsidRPr="00333ED4" w:rsidTr="0057495B">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049" w:type="dxa"/>
            <w:tcBorders>
              <w:bottom w:val="single" w:sz="4" w:space="0" w:color="A6A6A6" w:themeColor="background1" w:themeShade="A6"/>
            </w:tcBorders>
          </w:tcPr>
          <w:p w:rsidR="001D1810" w:rsidRPr="00E61F02" w:rsidRDefault="001D1810" w:rsidP="0057495B">
            <w:pPr>
              <w:pStyle w:val="Tables"/>
              <w:jc w:val="center"/>
            </w:pPr>
          </w:p>
        </w:tc>
        <w:tc>
          <w:tcPr>
            <w:tcW w:w="1603" w:type="dxa"/>
            <w:tcBorders>
              <w:bottom w:val="single" w:sz="4" w:space="0" w:color="A6A6A6" w:themeColor="background1" w:themeShade="A6"/>
            </w:tcBorders>
          </w:tcPr>
          <w:p w:rsidR="001D1810" w:rsidRPr="00E61F0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p>
        </w:tc>
        <w:tc>
          <w:tcPr>
            <w:tcW w:w="1701" w:type="dxa"/>
            <w:tcBorders>
              <w:bottom w:val="single" w:sz="4" w:space="0" w:color="A6A6A6" w:themeColor="background1" w:themeShade="A6"/>
            </w:tcBorders>
          </w:tcPr>
          <w:p w:rsidR="001D1810" w:rsidRPr="00E61F0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r w:rsidRPr="00E61F02">
              <w:t>40ft GP</w:t>
            </w:r>
          </w:p>
        </w:tc>
        <w:tc>
          <w:tcPr>
            <w:tcW w:w="1126" w:type="dxa"/>
            <w:tcBorders>
              <w:bottom w:val="single" w:sz="4" w:space="0" w:color="A6A6A6" w:themeColor="background1" w:themeShade="A6"/>
            </w:tcBorders>
          </w:tcPr>
          <w:p w:rsidR="001D1810" w:rsidRPr="00E61F0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r w:rsidRPr="00E61F02">
              <w:t>€ 441.00</w:t>
            </w:r>
          </w:p>
        </w:tc>
        <w:tc>
          <w:tcPr>
            <w:tcW w:w="1296" w:type="dxa"/>
            <w:tcBorders>
              <w:bottom w:val="single" w:sz="4" w:space="0" w:color="A6A6A6" w:themeColor="background1" w:themeShade="A6"/>
            </w:tcBorders>
          </w:tcPr>
          <w:p w:rsidR="001D1810" w:rsidRPr="00E61F0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r w:rsidRPr="00E61F02">
              <w:t>$735</w:t>
            </w:r>
          </w:p>
        </w:tc>
        <w:tc>
          <w:tcPr>
            <w:tcW w:w="1297" w:type="dxa"/>
            <w:tcBorders>
              <w:bottom w:val="single" w:sz="4" w:space="0" w:color="A6A6A6" w:themeColor="background1" w:themeShade="A6"/>
            </w:tcBorders>
          </w:tcPr>
          <w:p w:rsidR="001D1810" w:rsidRPr="00E61F0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p>
        </w:tc>
      </w:tr>
      <w:tr w:rsidR="001D1810" w:rsidRPr="00333ED4" w:rsidTr="0057495B">
        <w:trPr>
          <w:cnfStyle w:val="000000010000" w:firstRow="0" w:lastRow="0" w:firstColumn="0" w:lastColumn="0" w:oddVBand="0" w:evenVBand="0" w:oddHBand="0" w:evenHBand="1"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2049" w:type="dxa"/>
          </w:tcPr>
          <w:p w:rsidR="001D1810" w:rsidRPr="00E61F02" w:rsidRDefault="001D1810" w:rsidP="0057495B">
            <w:pPr>
              <w:pStyle w:val="Tables"/>
              <w:jc w:val="center"/>
            </w:pPr>
            <w:r w:rsidRPr="00E61F02">
              <w:t>DFDS Immingham to Cuxhaven</w:t>
            </w:r>
          </w:p>
        </w:tc>
        <w:tc>
          <w:tcPr>
            <w:tcW w:w="1603" w:type="dxa"/>
          </w:tcPr>
          <w:p w:rsidR="001D1810" w:rsidRPr="00E61F0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r w:rsidRPr="00E61F02">
              <w:t>Daily 24 hour transit (5 days a week)</w:t>
            </w:r>
          </w:p>
        </w:tc>
        <w:tc>
          <w:tcPr>
            <w:tcW w:w="1701" w:type="dxa"/>
          </w:tcPr>
          <w:p w:rsidR="001D1810" w:rsidRPr="00E61F0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r w:rsidRPr="00E61F02">
              <w:t>Trailer (dry)</w:t>
            </w:r>
          </w:p>
        </w:tc>
        <w:tc>
          <w:tcPr>
            <w:tcW w:w="1126" w:type="dxa"/>
          </w:tcPr>
          <w:p w:rsidR="001D1810" w:rsidRPr="00E61F0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r w:rsidRPr="00E61F02">
              <w:t>€ 632.00</w:t>
            </w:r>
          </w:p>
        </w:tc>
        <w:tc>
          <w:tcPr>
            <w:tcW w:w="1296" w:type="dxa"/>
          </w:tcPr>
          <w:p w:rsidR="001D1810" w:rsidRPr="00E61F0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r w:rsidRPr="00E61F02">
              <w:t>$1</w:t>
            </w:r>
            <w:r>
              <w:t>,</w:t>
            </w:r>
            <w:r w:rsidRPr="00E61F02">
              <w:t>053</w:t>
            </w:r>
          </w:p>
        </w:tc>
        <w:tc>
          <w:tcPr>
            <w:tcW w:w="1297" w:type="dxa"/>
          </w:tcPr>
          <w:p w:rsidR="001D1810" w:rsidRPr="00E61F0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r w:rsidRPr="00E61F02">
              <w:t>329 nm</w:t>
            </w:r>
          </w:p>
        </w:tc>
      </w:tr>
      <w:tr w:rsidR="001D1810" w:rsidRPr="00333ED4" w:rsidTr="00574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9" w:type="dxa"/>
          </w:tcPr>
          <w:p w:rsidR="001D1810" w:rsidRPr="00E61F02" w:rsidRDefault="001D1810" w:rsidP="0057495B">
            <w:pPr>
              <w:pStyle w:val="Tables"/>
              <w:jc w:val="center"/>
            </w:pPr>
          </w:p>
        </w:tc>
        <w:tc>
          <w:tcPr>
            <w:tcW w:w="1603" w:type="dxa"/>
          </w:tcPr>
          <w:p w:rsidR="001D1810" w:rsidRPr="00E61F0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p>
        </w:tc>
        <w:tc>
          <w:tcPr>
            <w:tcW w:w="1701" w:type="dxa"/>
          </w:tcPr>
          <w:p w:rsidR="001D1810" w:rsidRPr="00E61F0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r w:rsidRPr="00E61F02">
              <w:t>20ft GP</w:t>
            </w:r>
          </w:p>
        </w:tc>
        <w:tc>
          <w:tcPr>
            <w:tcW w:w="1126" w:type="dxa"/>
          </w:tcPr>
          <w:p w:rsidR="001D1810" w:rsidRPr="00E61F0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r w:rsidRPr="00E61F02">
              <w:t>€ 588.00</w:t>
            </w:r>
          </w:p>
        </w:tc>
        <w:tc>
          <w:tcPr>
            <w:tcW w:w="1296" w:type="dxa"/>
          </w:tcPr>
          <w:p w:rsidR="001D1810" w:rsidRPr="00E61F0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r w:rsidRPr="00E61F02">
              <w:t>$980</w:t>
            </w:r>
          </w:p>
        </w:tc>
        <w:tc>
          <w:tcPr>
            <w:tcW w:w="1297" w:type="dxa"/>
          </w:tcPr>
          <w:p w:rsidR="001D1810" w:rsidRPr="00E61F0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p>
        </w:tc>
      </w:tr>
      <w:tr w:rsidR="001D1810" w:rsidRPr="00333ED4" w:rsidTr="00574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9" w:type="dxa"/>
            <w:tcBorders>
              <w:bottom w:val="single" w:sz="4" w:space="0" w:color="A6A6A6" w:themeColor="background1" w:themeShade="A6"/>
            </w:tcBorders>
          </w:tcPr>
          <w:p w:rsidR="001D1810" w:rsidRPr="00E61F02" w:rsidRDefault="001D1810" w:rsidP="0057495B">
            <w:pPr>
              <w:pStyle w:val="Tables"/>
              <w:jc w:val="center"/>
            </w:pPr>
          </w:p>
        </w:tc>
        <w:tc>
          <w:tcPr>
            <w:tcW w:w="1603" w:type="dxa"/>
            <w:tcBorders>
              <w:bottom w:val="single" w:sz="4" w:space="0" w:color="A6A6A6" w:themeColor="background1" w:themeShade="A6"/>
            </w:tcBorders>
          </w:tcPr>
          <w:p w:rsidR="001D1810" w:rsidRPr="00E61F0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p>
        </w:tc>
        <w:tc>
          <w:tcPr>
            <w:tcW w:w="1701" w:type="dxa"/>
            <w:tcBorders>
              <w:bottom w:val="single" w:sz="4" w:space="0" w:color="A6A6A6" w:themeColor="background1" w:themeShade="A6"/>
            </w:tcBorders>
          </w:tcPr>
          <w:p w:rsidR="001D1810" w:rsidRPr="00E61F0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r w:rsidRPr="00E61F02">
              <w:t>40ft GP</w:t>
            </w:r>
          </w:p>
        </w:tc>
        <w:tc>
          <w:tcPr>
            <w:tcW w:w="1126" w:type="dxa"/>
            <w:tcBorders>
              <w:bottom w:val="single" w:sz="4" w:space="0" w:color="A6A6A6" w:themeColor="background1" w:themeShade="A6"/>
            </w:tcBorders>
          </w:tcPr>
          <w:p w:rsidR="001D1810" w:rsidRPr="00E61F0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r w:rsidRPr="00E61F02">
              <w:t>€ 632.00</w:t>
            </w:r>
          </w:p>
        </w:tc>
        <w:tc>
          <w:tcPr>
            <w:tcW w:w="1296" w:type="dxa"/>
            <w:tcBorders>
              <w:bottom w:val="single" w:sz="4" w:space="0" w:color="A6A6A6" w:themeColor="background1" w:themeShade="A6"/>
            </w:tcBorders>
          </w:tcPr>
          <w:p w:rsidR="001D1810" w:rsidRPr="00E61F0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r w:rsidRPr="00E61F02">
              <w:t>$1</w:t>
            </w:r>
            <w:r>
              <w:t>,</w:t>
            </w:r>
            <w:r w:rsidRPr="00E61F02">
              <w:t>053</w:t>
            </w:r>
          </w:p>
        </w:tc>
        <w:tc>
          <w:tcPr>
            <w:tcW w:w="1297" w:type="dxa"/>
            <w:tcBorders>
              <w:bottom w:val="single" w:sz="4" w:space="0" w:color="A6A6A6" w:themeColor="background1" w:themeShade="A6"/>
            </w:tcBorders>
          </w:tcPr>
          <w:p w:rsidR="001D1810" w:rsidRPr="00E61F0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p>
        </w:tc>
      </w:tr>
      <w:tr w:rsidR="001D1810" w:rsidRPr="00333ED4" w:rsidTr="0057495B">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9072" w:type="dxa"/>
            <w:gridSpan w:val="6"/>
            <w:tcBorders>
              <w:left w:val="nil"/>
              <w:bottom w:val="nil"/>
              <w:right w:val="nil"/>
            </w:tcBorders>
            <w:shd w:val="clear" w:color="auto" w:fill="auto"/>
            <w:vAlign w:val="top"/>
          </w:tcPr>
          <w:p w:rsidR="001D1810" w:rsidRPr="00E61F02" w:rsidRDefault="001D1810" w:rsidP="0057495B">
            <w:pPr>
              <w:pStyle w:val="Tables"/>
              <w:spacing w:after="0"/>
              <w:jc w:val="left"/>
              <w:rPr>
                <w:i/>
              </w:rPr>
            </w:pPr>
            <w:r w:rsidRPr="00E61F02">
              <w:rPr>
                <w:i/>
              </w:rPr>
              <w:t>* €1= $AUD1.66 this not the current exchange rate, but a typical long term rate</w:t>
            </w:r>
          </w:p>
          <w:p w:rsidR="001D1810" w:rsidRPr="00F0686C" w:rsidRDefault="001D1810" w:rsidP="0057495B">
            <w:pPr>
              <w:pStyle w:val="Tables"/>
              <w:keepNext/>
              <w:spacing w:after="0"/>
              <w:jc w:val="left"/>
            </w:pPr>
            <w:r w:rsidRPr="00E61F02">
              <w:rPr>
                <w:i/>
              </w:rPr>
              <w:t>** General Purpose</w:t>
            </w:r>
          </w:p>
        </w:tc>
      </w:tr>
    </w:tbl>
    <w:p w:rsidR="001D1810" w:rsidRDefault="001D1810" w:rsidP="001D1810">
      <w:pPr>
        <w:pStyle w:val="Caption"/>
      </w:pPr>
      <w:bookmarkStart w:id="145" w:name="_Ref358721858"/>
      <w:bookmarkStart w:id="146" w:name="_Toc364161826"/>
      <w:bookmarkStart w:id="147" w:name="_Toc366769125"/>
      <w:r>
        <w:t xml:space="preserve">Table </w:t>
      </w:r>
      <w:r w:rsidR="00CA7023">
        <w:fldChar w:fldCharType="begin"/>
      </w:r>
      <w:r w:rsidR="009A1986">
        <w:instrText xml:space="preserve"> SEQ Table \* ARABIC </w:instrText>
      </w:r>
      <w:r w:rsidR="00CA7023">
        <w:fldChar w:fldCharType="separate"/>
      </w:r>
      <w:r w:rsidR="00FF5EB2">
        <w:rPr>
          <w:noProof/>
        </w:rPr>
        <w:t>8</w:t>
      </w:r>
      <w:r w:rsidR="00CA7023">
        <w:fldChar w:fldCharType="end"/>
      </w:r>
      <w:bookmarkEnd w:id="145"/>
      <w:r>
        <w:t xml:space="preserve">: </w:t>
      </w:r>
      <w:r w:rsidRPr="00534BD3">
        <w:t xml:space="preserve">Sample </w:t>
      </w:r>
      <w:r w:rsidR="00AF6026">
        <w:t>RORO</w:t>
      </w:r>
      <w:r w:rsidRPr="00534BD3">
        <w:t xml:space="preserve"> Immingham Ferry Service </w:t>
      </w:r>
      <w:r>
        <w:t>Rates</w:t>
      </w:r>
      <w:bookmarkEnd w:id="146"/>
      <w:bookmarkEnd w:id="147"/>
    </w:p>
    <w:p w:rsidR="00747377" w:rsidRDefault="00747377" w:rsidP="001D1810">
      <w:pPr>
        <w:pStyle w:val="Tables"/>
      </w:pPr>
    </w:p>
    <w:p w:rsidR="001D1810" w:rsidRDefault="001D1810" w:rsidP="001D1810">
      <w:pPr>
        <w:pStyle w:val="Tables"/>
      </w:pPr>
      <w:r w:rsidRPr="00F0686C">
        <w:t xml:space="preserve">The above freight rates are inclusive of BAF (fuel surcharge) </w:t>
      </w:r>
      <w:r>
        <w:t xml:space="preserve">and </w:t>
      </w:r>
      <w:r w:rsidRPr="00F0686C">
        <w:t xml:space="preserve">only ocean freight. </w:t>
      </w:r>
      <w:r>
        <w:t xml:space="preserve"> Rates do</w:t>
      </w:r>
      <w:r w:rsidRPr="00F0686C">
        <w:t xml:space="preserve"> not include terminal charges and charges for power used for refrigerated containers</w:t>
      </w:r>
      <w:r>
        <w:t xml:space="preserve">. </w:t>
      </w:r>
    </w:p>
    <w:p w:rsidR="001D1810" w:rsidRDefault="001D1810" w:rsidP="00EF4C68">
      <w:pPr>
        <w:pStyle w:val="Heading3"/>
      </w:pPr>
      <w:r>
        <w:t xml:space="preserve"> </w:t>
      </w:r>
      <w:bookmarkStart w:id="148" w:name="_Toc367700234"/>
      <w:r>
        <w:t xml:space="preserve">Consideration of </w:t>
      </w:r>
      <w:r w:rsidR="003925FA">
        <w:t>S</w:t>
      </w:r>
      <w:r>
        <w:t xml:space="preserve">ervices </w:t>
      </w:r>
      <w:r w:rsidR="003925FA">
        <w:t>B</w:t>
      </w:r>
      <w:r>
        <w:t>etween Spain and Majorca/Las Palmas</w:t>
      </w:r>
      <w:bookmarkEnd w:id="148"/>
    </w:p>
    <w:p w:rsidR="001D1810" w:rsidRDefault="001D1810" w:rsidP="001D1810">
      <w:pPr>
        <w:pStyle w:val="Tables"/>
      </w:pPr>
      <w:r>
        <w:t>We were also asked to consider a service between the Spanish Mediterranean coast and the island of Majorca or the islands of Las Palmas. We did not consider this a good comparison for the following reasons:</w:t>
      </w:r>
    </w:p>
    <w:p w:rsidR="001D1810" w:rsidRDefault="001D1810" w:rsidP="001D1810">
      <w:pPr>
        <w:pStyle w:val="Tables"/>
      </w:pPr>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1895"/>
        <w:gridCol w:w="7144"/>
      </w:tblGrid>
      <w:tr w:rsidR="001D1810" w:rsidRPr="00D75FE8" w:rsidTr="0057495B">
        <w:trPr>
          <w:trHeight w:val="443"/>
        </w:trPr>
        <w:tc>
          <w:tcPr>
            <w:tcW w:w="1895" w:type="dxa"/>
            <w:tcBorders>
              <w:bottom w:val="single" w:sz="4" w:space="0" w:color="A6A6A6" w:themeColor="background1" w:themeShade="A6"/>
            </w:tcBorders>
            <w:shd w:val="clear" w:color="auto" w:fill="EFF0EF" w:themeFill="accent4"/>
            <w:vAlign w:val="center"/>
          </w:tcPr>
          <w:p w:rsidR="001D1810" w:rsidRPr="00F91EAD" w:rsidRDefault="001D1810" w:rsidP="0057495B">
            <w:pPr>
              <w:pStyle w:val="ListParagraph"/>
              <w:spacing w:before="0" w:after="0"/>
              <w:ind w:left="0" w:right="-62"/>
              <w:jc w:val="center"/>
              <w:rPr>
                <w:b/>
              </w:rPr>
            </w:pPr>
            <w:r w:rsidRPr="00F91EAD">
              <w:rPr>
                <w:b/>
              </w:rPr>
              <w:t>Observation</w:t>
            </w:r>
          </w:p>
        </w:tc>
        <w:tc>
          <w:tcPr>
            <w:tcW w:w="7144" w:type="dxa"/>
            <w:tcBorders>
              <w:bottom w:val="single" w:sz="4" w:space="0" w:color="A6A6A6" w:themeColor="background1" w:themeShade="A6"/>
            </w:tcBorders>
            <w:shd w:val="clear" w:color="auto" w:fill="auto"/>
            <w:vAlign w:val="center"/>
          </w:tcPr>
          <w:p w:rsidR="001D1810" w:rsidRPr="00F91EAD" w:rsidRDefault="001D1810" w:rsidP="0057495B">
            <w:pPr>
              <w:spacing w:before="0" w:after="0"/>
              <w:ind w:right="-62"/>
              <w:jc w:val="center"/>
              <w:rPr>
                <w:b/>
              </w:rPr>
            </w:pPr>
            <w:r w:rsidRPr="00F91EAD">
              <w:rPr>
                <w:b/>
              </w:rPr>
              <w:t>Comment</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Pr>
        <w:tc>
          <w:tcPr>
            <w:tcW w:w="1895" w:type="dxa"/>
            <w:tcBorders>
              <w:bottom w:val="single" w:sz="4" w:space="0" w:color="A6A6A6" w:themeColor="background1" w:themeShade="A6"/>
            </w:tcBorders>
            <w:shd w:val="clear" w:color="auto" w:fill="EFF0EF" w:themeFill="accent4"/>
          </w:tcPr>
          <w:p w:rsidR="001D1810" w:rsidRPr="00767A8D" w:rsidRDefault="001D1810" w:rsidP="003925FA">
            <w:pPr>
              <w:pStyle w:val="Tables"/>
              <w:jc w:val="left"/>
              <w:rPr>
                <w:b/>
              </w:rPr>
            </w:pPr>
            <w:r w:rsidRPr="00767A8D">
              <w:rPr>
                <w:b/>
              </w:rPr>
              <w:t xml:space="preserve">Spanish Mediterranean </w:t>
            </w:r>
            <w:r w:rsidR="003925FA">
              <w:rPr>
                <w:b/>
              </w:rPr>
              <w:t>C</w:t>
            </w:r>
            <w:r w:rsidRPr="00767A8D">
              <w:rPr>
                <w:b/>
              </w:rPr>
              <w:t xml:space="preserve">oast and the </w:t>
            </w:r>
            <w:r w:rsidR="003925FA">
              <w:rPr>
                <w:b/>
              </w:rPr>
              <w:t>I</w:t>
            </w:r>
            <w:r w:rsidRPr="00767A8D">
              <w:rPr>
                <w:b/>
              </w:rPr>
              <w:t xml:space="preserve">sland of Majorca or the </w:t>
            </w:r>
            <w:r w:rsidR="003925FA">
              <w:rPr>
                <w:b/>
              </w:rPr>
              <w:t>I</w:t>
            </w:r>
            <w:r w:rsidRPr="00767A8D">
              <w:rPr>
                <w:b/>
              </w:rPr>
              <w:t xml:space="preserve">slands of Las Palmas </w:t>
            </w:r>
          </w:p>
        </w:tc>
        <w:tc>
          <w:tcPr>
            <w:tcW w:w="7144" w:type="dxa"/>
            <w:tcBorders>
              <w:bottom w:val="single" w:sz="4" w:space="0" w:color="A6A6A6" w:themeColor="background1" w:themeShade="A6"/>
            </w:tcBorders>
            <w:shd w:val="clear" w:color="auto" w:fill="auto"/>
          </w:tcPr>
          <w:p w:rsidR="001D1810" w:rsidRDefault="001D1810" w:rsidP="0057495B">
            <w:pPr>
              <w:pStyle w:val="Tables"/>
            </w:pPr>
            <w:r w:rsidRPr="002D319C">
              <w:t>The distance from Valencia to Mallorca is 138 nm which is</w:t>
            </w:r>
            <w:r>
              <w:t xml:space="preserve"> considered</w:t>
            </w:r>
            <w:r w:rsidRPr="002D319C">
              <w:t xml:space="preserve"> too short and not very comparable to</w:t>
            </w:r>
            <w:r>
              <w:t xml:space="preserve"> </w:t>
            </w:r>
            <w:r w:rsidRPr="002D319C">
              <w:t xml:space="preserve">Bass Strait services. </w:t>
            </w:r>
          </w:p>
          <w:p w:rsidR="001D1810" w:rsidRDefault="001D1810" w:rsidP="0057495B">
            <w:pPr>
              <w:pStyle w:val="Tables"/>
            </w:pPr>
            <w:r>
              <w:t>T</w:t>
            </w:r>
            <w:r w:rsidRPr="002D319C">
              <w:t xml:space="preserve">he company </w:t>
            </w:r>
            <w:r>
              <w:t xml:space="preserve">operating this service </w:t>
            </w:r>
            <w:r w:rsidRPr="002D319C">
              <w:t xml:space="preserve">uses very fast </w:t>
            </w:r>
            <w:r>
              <w:t>vessel</w:t>
            </w:r>
            <w:r w:rsidRPr="002D319C">
              <w:t xml:space="preserve">s </w:t>
            </w:r>
            <w:r>
              <w:t>with a</w:t>
            </w:r>
            <w:r w:rsidRPr="002D319C">
              <w:t xml:space="preserve"> voyage time </w:t>
            </w:r>
            <w:r>
              <w:t xml:space="preserve">of around </w:t>
            </w:r>
            <w:r w:rsidRPr="002D319C">
              <w:t xml:space="preserve">6 hours. They are also very passenger oriented unlike the DFDS services. </w:t>
            </w:r>
            <w:r>
              <w:t xml:space="preserve"> These services were considered to be less comparable than those discussed above and are therefore not included in this study</w:t>
            </w:r>
            <w:r w:rsidR="00DE3686">
              <w:t>.</w:t>
            </w:r>
          </w:p>
          <w:p w:rsidR="001D1810" w:rsidRPr="000B2866" w:rsidRDefault="001D1810" w:rsidP="00747377">
            <w:pPr>
              <w:pStyle w:val="Tables"/>
              <w:keepNext/>
            </w:pPr>
          </w:p>
        </w:tc>
      </w:tr>
    </w:tbl>
    <w:p w:rsidR="001D1810" w:rsidRDefault="00747377" w:rsidP="00747377">
      <w:pPr>
        <w:pStyle w:val="Caption"/>
      </w:pPr>
      <w:bookmarkStart w:id="149" w:name="_Toc366769126"/>
      <w:r>
        <w:t xml:space="preserve">Table </w:t>
      </w:r>
      <w:r w:rsidR="00CA7023">
        <w:fldChar w:fldCharType="begin"/>
      </w:r>
      <w:r>
        <w:instrText xml:space="preserve"> SEQ Table \* ARABIC </w:instrText>
      </w:r>
      <w:r w:rsidR="00CA7023">
        <w:fldChar w:fldCharType="separate"/>
      </w:r>
      <w:r w:rsidR="00FF5EB2">
        <w:rPr>
          <w:noProof/>
        </w:rPr>
        <w:t>9</w:t>
      </w:r>
      <w:r w:rsidR="00CA7023">
        <w:fldChar w:fldCharType="end"/>
      </w:r>
      <w:r>
        <w:t xml:space="preserve">: </w:t>
      </w:r>
      <w:r w:rsidRPr="007F40F4">
        <w:t xml:space="preserve">Consideration of </w:t>
      </w:r>
      <w:r w:rsidR="003925FA">
        <w:t>S</w:t>
      </w:r>
      <w:r w:rsidRPr="007F40F4">
        <w:t xml:space="preserve">ervices </w:t>
      </w:r>
      <w:r w:rsidR="003925FA">
        <w:t>B</w:t>
      </w:r>
      <w:r w:rsidRPr="007F40F4">
        <w:t>etween Spain and Majorca/Las Palmas</w:t>
      </w:r>
      <w:bookmarkEnd w:id="149"/>
    </w:p>
    <w:p w:rsidR="001D1810" w:rsidRDefault="001D1810" w:rsidP="001D1810">
      <w:pPr>
        <w:spacing w:after="200"/>
        <w:jc w:val="left"/>
      </w:pPr>
      <w:r>
        <w:br w:type="page"/>
      </w:r>
    </w:p>
    <w:p w:rsidR="00DE3686" w:rsidRDefault="00DE3686" w:rsidP="00DE3686">
      <w:pPr>
        <w:ind w:right="-64"/>
        <w:jc w:val="left"/>
      </w:pPr>
      <w:r w:rsidRPr="004A21DB">
        <w:lastRenderedPageBreak/>
        <w:t xml:space="preserve">Comparing </w:t>
      </w:r>
      <w:r>
        <w:t xml:space="preserve">nominal </w:t>
      </w:r>
      <w:r w:rsidRPr="004A21DB">
        <w:t xml:space="preserve">Bass Strait shipping to </w:t>
      </w:r>
      <w:r>
        <w:t xml:space="preserve">the Immingham and Cook Strait services we </w:t>
      </w:r>
      <w:r w:rsidRPr="004A21DB">
        <w:t xml:space="preserve">can generate the following chart. </w:t>
      </w:r>
      <w:r>
        <w:t xml:space="preserve"> </w:t>
      </w:r>
    </w:p>
    <w:p w:rsidR="001D1810" w:rsidRDefault="001D1810" w:rsidP="001D1810">
      <w:r>
        <w:t>Prices range typically from $800 to $1,200 per Twenty Foot Equivalent Unit (TEU).  A ‘rack rate’ of $1,050 to $1,150 was indicated by major freight providers for Bass Strait for an ad hoc customer per TEU. An average of nominal rates from Europe was $800.  It is acknowledged that large freight users can negotiate substantial discounts from these prices. Adjusting for port handling charges, currency effects and averaging rates, nominal Bass Strait freight prices appear to be higher than an average nominal ‘rack rate’ from Immingham to European ports by broadly 24%.</w:t>
      </w:r>
    </w:p>
    <w:p w:rsidR="001D1810" w:rsidRDefault="001D1810" w:rsidP="001D1810">
      <w:r w:rsidRPr="000801A9">
        <w:t>This price difference</w:t>
      </w:r>
      <w:r>
        <w:t xml:space="preserve"> should be put in context; it is in part influenced by costs which are higher in Australia mainly due to A</w:t>
      </w:r>
      <w:r w:rsidRPr="000801A9">
        <w:t>ust</w:t>
      </w:r>
      <w:r>
        <w:t>ralian labour costs and bunkers, as discussed in section 4.3. We found these input costs for Australian shipping to be 23% higher than European costs.</w:t>
      </w:r>
    </w:p>
    <w:p w:rsidR="001D1810" w:rsidRPr="00FC0965" w:rsidRDefault="00404238" w:rsidP="001D1810">
      <w:pPr>
        <w:ind w:right="-64"/>
        <w:jc w:val="left"/>
        <w:rPr>
          <w:u w:val="single"/>
        </w:rPr>
      </w:pPr>
      <w:r>
        <w:rPr>
          <w:noProof/>
          <w:lang w:val="en-AU" w:eastAsia="en-AU"/>
        </w:rPr>
        <w:drawing>
          <wp:inline distT="0" distB="0" distL="0" distR="0">
            <wp:extent cx="5760085" cy="323758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760085" cy="3237586"/>
                    </a:xfrm>
                    <a:prstGeom prst="rect">
                      <a:avLst/>
                    </a:prstGeom>
                  </pic:spPr>
                </pic:pic>
              </a:graphicData>
            </a:graphic>
          </wp:inline>
        </w:drawing>
      </w:r>
    </w:p>
    <w:p w:rsidR="001D1810" w:rsidRPr="00893B65" w:rsidRDefault="001D1810" w:rsidP="001D1810">
      <w:pPr>
        <w:spacing w:after="200"/>
        <w:jc w:val="center"/>
        <w:rPr>
          <w:b/>
          <w:bCs/>
          <w:color w:val="353D30" w:themeColor="accent2"/>
          <w:szCs w:val="18"/>
        </w:rPr>
      </w:pPr>
      <w:r w:rsidRPr="001D5217">
        <w:rPr>
          <w:b/>
          <w:bCs/>
          <w:color w:val="353D30" w:themeColor="accent2"/>
          <w:szCs w:val="18"/>
        </w:rPr>
        <w:t xml:space="preserve">Figure 2: Bass Strait and International </w:t>
      </w:r>
      <w:r w:rsidR="00AF6026">
        <w:rPr>
          <w:b/>
          <w:bCs/>
          <w:color w:val="353D30" w:themeColor="accent2"/>
          <w:szCs w:val="18"/>
        </w:rPr>
        <w:t>RORO</w:t>
      </w:r>
      <w:r w:rsidRPr="001D5217">
        <w:rPr>
          <w:b/>
          <w:bCs/>
          <w:color w:val="353D30" w:themeColor="accent2"/>
          <w:szCs w:val="18"/>
        </w:rPr>
        <w:t xml:space="preserve"> </w:t>
      </w:r>
      <w:r>
        <w:rPr>
          <w:b/>
          <w:bCs/>
          <w:color w:val="353D30" w:themeColor="accent2"/>
          <w:szCs w:val="18"/>
        </w:rPr>
        <w:t>Rate</w:t>
      </w:r>
      <w:r w:rsidRPr="001D5217">
        <w:rPr>
          <w:b/>
          <w:bCs/>
          <w:color w:val="353D30" w:themeColor="accent2"/>
          <w:szCs w:val="18"/>
        </w:rPr>
        <w:t xml:space="preserve"> </w:t>
      </w:r>
      <w:r>
        <w:rPr>
          <w:b/>
          <w:bCs/>
          <w:color w:val="353D30" w:themeColor="accent2"/>
          <w:szCs w:val="18"/>
        </w:rPr>
        <w:t>C</w:t>
      </w:r>
      <w:r w:rsidRPr="001D5217">
        <w:rPr>
          <w:b/>
          <w:bCs/>
          <w:color w:val="353D30" w:themeColor="accent2"/>
          <w:szCs w:val="18"/>
        </w:rPr>
        <w:t>omparison</w:t>
      </w:r>
    </w:p>
    <w:p w:rsidR="001D1810" w:rsidRDefault="001D1810" w:rsidP="001D1810">
      <w:pPr>
        <w:spacing w:after="200"/>
        <w:jc w:val="left"/>
        <w:rPr>
          <w:rFonts w:asciiTheme="majorHAnsi" w:eastAsiaTheme="majorEastAsia" w:hAnsiTheme="majorHAnsi" w:cstheme="majorHAnsi"/>
          <w:b/>
          <w:bCs/>
          <w:color w:val="353D30" w:themeColor="accent2"/>
          <w:sz w:val="24"/>
          <w:szCs w:val="22"/>
        </w:rPr>
      </w:pPr>
      <w:r>
        <w:br w:type="page"/>
      </w:r>
    </w:p>
    <w:p w:rsidR="001D1810" w:rsidRPr="00B37BE6" w:rsidRDefault="001D1810" w:rsidP="008B6FC3">
      <w:pPr>
        <w:pStyle w:val="Heading2"/>
      </w:pPr>
      <w:bookmarkStart w:id="150" w:name="_Toc364154089"/>
      <w:bookmarkStart w:id="151" w:name="_Toc367700235"/>
      <w:r>
        <w:lastRenderedPageBreak/>
        <w:t>International Liner</w:t>
      </w:r>
      <w:r w:rsidRPr="00B37BE6">
        <w:t xml:space="preserve"> </w:t>
      </w:r>
      <w:r>
        <w:t>S</w:t>
      </w:r>
      <w:r w:rsidRPr="00B37BE6">
        <w:t xml:space="preserve">ervice </w:t>
      </w:r>
      <w:r>
        <w:t>C</w:t>
      </w:r>
      <w:r w:rsidRPr="00B37BE6">
        <w:t>alls at Tasmania</w:t>
      </w:r>
      <w:bookmarkEnd w:id="150"/>
      <w:bookmarkEnd w:id="151"/>
    </w:p>
    <w:p w:rsidR="001D1810" w:rsidRDefault="001D1810" w:rsidP="001D1810">
      <w:r w:rsidRPr="00F91EAD">
        <w:t xml:space="preserve">Direct calls of </w:t>
      </w:r>
      <w:r>
        <w:t>International Liner</w:t>
      </w:r>
      <w:r w:rsidRPr="00F91EAD">
        <w:t xml:space="preserve"> services in Ta</w:t>
      </w:r>
      <w:r>
        <w:t>smania are unlikely to resume because the volume of freight</w:t>
      </w:r>
      <w:r w:rsidR="00EB61EF">
        <w:t xml:space="preserve"> in one place</w:t>
      </w:r>
      <w:r>
        <w:t xml:space="preserve"> is insufficient to attract operators. </w:t>
      </w:r>
    </w:p>
    <w:p w:rsidR="001D1810" w:rsidRDefault="001D1810" w:rsidP="001D1810">
      <w:r>
        <w:t>There is a trade-off between frequency of service and volume of freight - if there is sufficient freight ships will call.  If there isn’t services cease (e.g. AAA service).  On the demand side for freight a similar function applies if there is a sufficiently frequent direct call service to Tasmanian ports, freight will be attracted to it.  If it is seldom, freight will be transhipped through Melbourne where timelier container services can be found.  The latter is a more expensive supply chain.</w:t>
      </w:r>
    </w:p>
    <w:p w:rsidR="001D1810" w:rsidRDefault="001D1810" w:rsidP="001D1810">
      <w:r>
        <w:t xml:space="preserve">The withdrawal of international services in 2011 and current proposals to service Tasmania only if subsidised suggest that the economics of direct call container services are currently marginal. </w:t>
      </w:r>
    </w:p>
    <w:p w:rsidR="001D1810" w:rsidRDefault="001D1810" w:rsidP="001D1810">
      <w:r>
        <w:t xml:space="preserve">To provide some insight to the FLCT Aurecon conducted a basic analysis </w:t>
      </w:r>
      <w:r w:rsidR="00DE3686">
        <w:t>considering available</w:t>
      </w:r>
      <w:r>
        <w:t xml:space="preserve"> export volumes and comparing these to the volumes required by liner service operators, such as AAA, as indicated in the paper </w:t>
      </w:r>
      <w:r w:rsidRPr="00B37BE6">
        <w:t xml:space="preserve">“International Container </w:t>
      </w:r>
      <w:r>
        <w:t>Shipping</w:t>
      </w:r>
      <w:r w:rsidRPr="00B37BE6">
        <w:t xml:space="preserve"> </w:t>
      </w:r>
      <w:r>
        <w:t>S</w:t>
      </w:r>
      <w:r w:rsidRPr="00B37BE6">
        <w:t xml:space="preserve">ervice </w:t>
      </w:r>
      <w:r>
        <w:t>V</w:t>
      </w:r>
      <w:r w:rsidRPr="00B37BE6">
        <w:t>iability for Tasmania”</w:t>
      </w:r>
      <w:r>
        <w:t>.</w:t>
      </w:r>
      <w:r>
        <w:rPr>
          <w:rStyle w:val="FootnoteReference"/>
        </w:rPr>
        <w:footnoteReference w:id="2"/>
      </w:r>
    </w:p>
    <w:p w:rsidR="001D1810" w:rsidRPr="006A5189" w:rsidRDefault="001D1810" w:rsidP="001D1810">
      <w:r w:rsidRPr="006A5189">
        <w:t>Aurecon analysed the current transhipping volumes through Melbourne and allocated these volumes to a service level and port.  Our assessment includes the following assumptions.</w:t>
      </w:r>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2376"/>
        <w:gridCol w:w="6911"/>
      </w:tblGrid>
      <w:tr w:rsidR="001D1810" w:rsidRPr="0010002D" w:rsidTr="0057495B">
        <w:trPr>
          <w:trHeight w:val="1401"/>
        </w:trPr>
        <w:tc>
          <w:tcPr>
            <w:tcW w:w="2376" w:type="dxa"/>
            <w:shd w:val="clear" w:color="auto" w:fill="EFF0EF" w:themeFill="accent4"/>
          </w:tcPr>
          <w:p w:rsidR="001D1810" w:rsidRDefault="001D1810" w:rsidP="0057495B">
            <w:pPr>
              <w:jc w:val="left"/>
              <w:rPr>
                <w:b/>
              </w:rPr>
            </w:pPr>
          </w:p>
          <w:p w:rsidR="001D1810" w:rsidRDefault="001D1810" w:rsidP="0057495B">
            <w:pPr>
              <w:jc w:val="left"/>
              <w:rPr>
                <w:b/>
              </w:rPr>
            </w:pPr>
            <w:r>
              <w:rPr>
                <w:b/>
              </w:rPr>
              <w:t>Assumptions</w:t>
            </w:r>
          </w:p>
        </w:tc>
        <w:tc>
          <w:tcPr>
            <w:tcW w:w="6911" w:type="dxa"/>
            <w:shd w:val="clear" w:color="auto" w:fill="auto"/>
          </w:tcPr>
          <w:p w:rsidR="001D1810" w:rsidRDefault="001D1810" w:rsidP="0057495B">
            <w:pPr>
              <w:pStyle w:val="Bullet1"/>
              <w:numPr>
                <w:ilvl w:val="0"/>
                <w:numId w:val="0"/>
              </w:numPr>
            </w:pPr>
            <w:r>
              <w:t>Volumes based on FY</w:t>
            </w:r>
            <w:r w:rsidR="006C63E9">
              <w:t xml:space="preserve"> 20</w:t>
            </w:r>
            <w:r>
              <w:t>11/12 transhipment data from Port of Melbourne.</w:t>
            </w:r>
          </w:p>
          <w:p w:rsidR="001D1810" w:rsidRDefault="001D1810" w:rsidP="0057495B">
            <w:pPr>
              <w:pStyle w:val="Bullet1"/>
              <w:numPr>
                <w:ilvl w:val="0"/>
                <w:numId w:val="0"/>
              </w:numPr>
            </w:pPr>
            <w:r>
              <w:t>O</w:t>
            </w:r>
            <w:r w:rsidRPr="00341DA9">
              <w:t>ne third of annual exports and imports (12,000 TEU) to be transhipped even though there is a direct call vessel, as this was the percentage transhipped when a direct call vessel was operating in FY</w:t>
            </w:r>
            <w:r w:rsidR="006C63E9">
              <w:t xml:space="preserve"> 20</w:t>
            </w:r>
            <w:r w:rsidRPr="00341DA9">
              <w:t>10/11.</w:t>
            </w:r>
          </w:p>
          <w:p w:rsidR="001D1810" w:rsidRDefault="001D1810" w:rsidP="0057495B">
            <w:pPr>
              <w:pStyle w:val="Bullet1"/>
              <w:numPr>
                <w:ilvl w:val="0"/>
                <w:numId w:val="0"/>
              </w:numPr>
            </w:pPr>
            <w:r w:rsidRPr="00B17614">
              <w:t>Excluded Norske Skog export volumes (3</w:t>
            </w:r>
            <w:r>
              <w:t>,</w:t>
            </w:r>
            <w:r w:rsidRPr="00B17614">
              <w:t>000 TEU) and Nyrstar</w:t>
            </w:r>
            <w:r w:rsidR="00EB61EF">
              <w:t xml:space="preserve"> export</w:t>
            </w:r>
            <w:r w:rsidRPr="00B17614">
              <w:t xml:space="preserve"> volumes (10</w:t>
            </w:r>
            <w:r>
              <w:t>,</w:t>
            </w:r>
            <w:r w:rsidRPr="00B17614">
              <w:t>000 TEU).  These are handle</w:t>
            </w:r>
            <w:r>
              <w:t>d domestically and it is assumed</w:t>
            </w:r>
            <w:r w:rsidRPr="00B17614">
              <w:t xml:space="preserve"> this arrangement will continue</w:t>
            </w:r>
            <w:r>
              <w:t>.</w:t>
            </w:r>
          </w:p>
          <w:p w:rsidR="001D1810" w:rsidRDefault="001D1810" w:rsidP="0057495B">
            <w:pPr>
              <w:pStyle w:val="Bullet1"/>
              <w:numPr>
                <w:ilvl w:val="0"/>
                <w:numId w:val="0"/>
              </w:numPr>
            </w:pPr>
            <w:r>
              <w:t xml:space="preserve">Included an estimate of Bell Bay Aluminium (7,000 TEU) volumes direct shipped currently.  </w:t>
            </w:r>
          </w:p>
          <w:p w:rsidR="001D1810" w:rsidRDefault="001D1810" w:rsidP="0057495B">
            <w:pPr>
              <w:pStyle w:val="Bullet1"/>
              <w:numPr>
                <w:ilvl w:val="0"/>
                <w:numId w:val="0"/>
              </w:numPr>
            </w:pPr>
            <w:r w:rsidRPr="00EB61EF">
              <w:t>Added 25% for re-positioned empty containers to the total.</w:t>
            </w:r>
          </w:p>
          <w:p w:rsidR="001D1810" w:rsidRDefault="001D1810" w:rsidP="0057495B">
            <w:pPr>
              <w:pStyle w:val="Bullet1"/>
              <w:numPr>
                <w:ilvl w:val="0"/>
                <w:numId w:val="0"/>
              </w:numPr>
            </w:pPr>
            <w:r w:rsidRPr="00EB61EF">
              <w:t>Service level allocation rule: Volumes which needed to be shipped weekly would not be able to be shipped monthly.  However volumes which were shipped monthly could be shipped weekly.</w:t>
            </w:r>
          </w:p>
          <w:p w:rsidR="001D1810" w:rsidRDefault="001D1810" w:rsidP="0057495B">
            <w:pPr>
              <w:pStyle w:val="Bullet1"/>
              <w:numPr>
                <w:ilvl w:val="0"/>
                <w:numId w:val="0"/>
              </w:numPr>
            </w:pPr>
            <w:r w:rsidRPr="00EB61EF">
              <w:t xml:space="preserve">Location allocation rule:  Unless a reason to favour either port, volume allocated 50/50 between Burnie and Bell </w:t>
            </w:r>
            <w:r w:rsidR="00E3251E" w:rsidRPr="00EB61EF">
              <w:t>Bay.</w:t>
            </w:r>
            <w:r w:rsidRPr="00EB61EF">
              <w:t xml:space="preserve">  An example of this would be aluminium which was allocated for shipment through Bell Bay.</w:t>
            </w:r>
          </w:p>
        </w:tc>
      </w:tr>
    </w:tbl>
    <w:p w:rsidR="001D1810" w:rsidRDefault="001D1810" w:rsidP="001D1810"/>
    <w:p w:rsidR="001D1810" w:rsidRDefault="001D1810" w:rsidP="001D1810">
      <w:pPr>
        <w:spacing w:after="200"/>
        <w:jc w:val="left"/>
      </w:pPr>
      <w:r>
        <w:br w:type="page"/>
      </w:r>
    </w:p>
    <w:p w:rsidR="001D1810" w:rsidRDefault="001D1810" w:rsidP="001D1810">
      <w:r>
        <w:lastRenderedPageBreak/>
        <w:t>We calculated the following annual volumes in TEU could be available for a direct call service:</w:t>
      </w:r>
    </w:p>
    <w:tbl>
      <w:tblPr>
        <w:tblStyle w:val="Style1"/>
        <w:tblpPr w:leftFromText="180" w:rightFromText="180" w:vertAnchor="text" w:horzAnchor="margin" w:tblpY="406"/>
        <w:tblW w:w="9242" w:type="dxa"/>
        <w:jc w:val="left"/>
        <w:tblLook w:val="0420" w:firstRow="1" w:lastRow="0" w:firstColumn="0" w:lastColumn="0" w:noHBand="0" w:noVBand="1"/>
      </w:tblPr>
      <w:tblGrid>
        <w:gridCol w:w="1476"/>
        <w:gridCol w:w="1184"/>
        <w:gridCol w:w="1134"/>
        <w:gridCol w:w="1134"/>
        <w:gridCol w:w="1417"/>
        <w:gridCol w:w="1276"/>
        <w:gridCol w:w="1621"/>
      </w:tblGrid>
      <w:tr w:rsidR="001D1810" w:rsidRPr="007A6DA2" w:rsidTr="0057495B">
        <w:trPr>
          <w:cnfStyle w:val="100000000000" w:firstRow="1" w:lastRow="0" w:firstColumn="0" w:lastColumn="0" w:oddVBand="0" w:evenVBand="0" w:oddHBand="0" w:evenHBand="0" w:firstRowFirstColumn="0" w:firstRowLastColumn="0" w:lastRowFirstColumn="0" w:lastRowLastColumn="0"/>
          <w:trHeight w:val="464"/>
          <w:jc w:val="left"/>
        </w:trPr>
        <w:tc>
          <w:tcPr>
            <w:tcW w:w="1476" w:type="dxa"/>
            <w:hideMark/>
          </w:tcPr>
          <w:p w:rsidR="001D1810" w:rsidRPr="007A6DA2" w:rsidRDefault="001D1810" w:rsidP="0057495B">
            <w:pPr>
              <w:spacing w:after="0"/>
              <w:jc w:val="center"/>
            </w:pPr>
            <w:r w:rsidRPr="007A6DA2">
              <w:t>Service</w:t>
            </w:r>
            <w:r>
              <w:t xml:space="preserve"> Level</w:t>
            </w:r>
          </w:p>
        </w:tc>
        <w:tc>
          <w:tcPr>
            <w:tcW w:w="1184" w:type="dxa"/>
            <w:hideMark/>
          </w:tcPr>
          <w:p w:rsidR="001D1810" w:rsidRPr="007A6DA2" w:rsidRDefault="001D1810" w:rsidP="0057495B">
            <w:pPr>
              <w:spacing w:after="0"/>
              <w:jc w:val="center"/>
            </w:pPr>
            <w:r w:rsidRPr="007A6DA2">
              <w:t>Burnie</w:t>
            </w:r>
          </w:p>
        </w:tc>
        <w:tc>
          <w:tcPr>
            <w:tcW w:w="1134" w:type="dxa"/>
            <w:hideMark/>
          </w:tcPr>
          <w:p w:rsidR="001D1810" w:rsidRPr="007A6DA2" w:rsidRDefault="001D1810" w:rsidP="0057495B">
            <w:pPr>
              <w:spacing w:after="0"/>
              <w:jc w:val="center"/>
            </w:pPr>
            <w:r w:rsidRPr="007A6DA2">
              <w:t>Bell Bay</w:t>
            </w:r>
          </w:p>
        </w:tc>
        <w:tc>
          <w:tcPr>
            <w:tcW w:w="1134" w:type="dxa"/>
            <w:hideMark/>
          </w:tcPr>
          <w:p w:rsidR="001D1810" w:rsidRPr="007A6DA2" w:rsidRDefault="001D1810" w:rsidP="0057495B">
            <w:pPr>
              <w:spacing w:after="0"/>
              <w:jc w:val="center"/>
            </w:pPr>
            <w:r w:rsidRPr="007A6DA2">
              <w:t>Total</w:t>
            </w:r>
          </w:p>
        </w:tc>
        <w:tc>
          <w:tcPr>
            <w:tcW w:w="1417" w:type="dxa"/>
          </w:tcPr>
          <w:p w:rsidR="001D1810" w:rsidRPr="007A6DA2" w:rsidRDefault="001D1810" w:rsidP="0057495B">
            <w:pPr>
              <w:spacing w:before="144" w:after="144"/>
              <w:jc w:val="center"/>
            </w:pPr>
            <w:r>
              <w:t>Less transhipped through Melbourne</w:t>
            </w:r>
          </w:p>
        </w:tc>
        <w:tc>
          <w:tcPr>
            <w:tcW w:w="1276" w:type="dxa"/>
          </w:tcPr>
          <w:p w:rsidR="001D1810" w:rsidRPr="007A6DA2" w:rsidRDefault="001D1810" w:rsidP="0057495B">
            <w:pPr>
              <w:spacing w:before="144" w:after="144"/>
              <w:jc w:val="center"/>
            </w:pPr>
            <w:r>
              <w:t>Total for Direct call</w:t>
            </w:r>
          </w:p>
        </w:tc>
        <w:tc>
          <w:tcPr>
            <w:tcW w:w="1621" w:type="dxa"/>
          </w:tcPr>
          <w:p w:rsidR="001D1810" w:rsidRDefault="001D1810" w:rsidP="0057495B">
            <w:pPr>
              <w:spacing w:before="144" w:after="144"/>
              <w:jc w:val="center"/>
            </w:pPr>
            <w:r>
              <w:t>Total Direct call plus empties re-positioned</w:t>
            </w:r>
          </w:p>
        </w:tc>
      </w:tr>
      <w:tr w:rsidR="001D1810" w:rsidRPr="007A6DA2" w:rsidTr="0057495B">
        <w:trPr>
          <w:cnfStyle w:val="000000100000" w:firstRow="0" w:lastRow="0" w:firstColumn="0" w:lastColumn="0" w:oddVBand="0" w:evenVBand="0" w:oddHBand="1" w:evenHBand="0" w:firstRowFirstColumn="0" w:firstRowLastColumn="0" w:lastRowFirstColumn="0" w:lastRowLastColumn="0"/>
          <w:trHeight w:val="530"/>
          <w:jc w:val="left"/>
        </w:trPr>
        <w:tc>
          <w:tcPr>
            <w:tcW w:w="1476" w:type="dxa"/>
            <w:hideMark/>
          </w:tcPr>
          <w:p w:rsidR="001D1810" w:rsidRPr="007A6DA2" w:rsidRDefault="001D1810" w:rsidP="0057495B">
            <w:pPr>
              <w:pStyle w:val="Tables"/>
            </w:pPr>
            <w:r w:rsidRPr="007A6DA2">
              <w:t>Weekly</w:t>
            </w:r>
          </w:p>
        </w:tc>
        <w:tc>
          <w:tcPr>
            <w:tcW w:w="1184" w:type="dxa"/>
            <w:vAlign w:val="bottom"/>
            <w:hideMark/>
          </w:tcPr>
          <w:p w:rsidR="001D1810" w:rsidRPr="00EB61EF" w:rsidRDefault="001D1810" w:rsidP="0057495B">
            <w:pPr>
              <w:pStyle w:val="Tables"/>
            </w:pPr>
            <w:r w:rsidRPr="00EB61EF">
              <w:t xml:space="preserve">    11,688 </w:t>
            </w:r>
          </w:p>
        </w:tc>
        <w:tc>
          <w:tcPr>
            <w:tcW w:w="1134" w:type="dxa"/>
            <w:vAlign w:val="bottom"/>
            <w:hideMark/>
          </w:tcPr>
          <w:p w:rsidR="001D1810" w:rsidRPr="00EB61EF" w:rsidRDefault="001D1810" w:rsidP="0057495B">
            <w:pPr>
              <w:pStyle w:val="Tables"/>
            </w:pPr>
            <w:r w:rsidRPr="00EB61EF">
              <w:t xml:space="preserve">    12,695 </w:t>
            </w:r>
          </w:p>
        </w:tc>
        <w:tc>
          <w:tcPr>
            <w:tcW w:w="1134" w:type="dxa"/>
            <w:vAlign w:val="bottom"/>
            <w:hideMark/>
          </w:tcPr>
          <w:p w:rsidR="001D1810" w:rsidRPr="00EB61EF" w:rsidRDefault="001D1810" w:rsidP="0057495B">
            <w:pPr>
              <w:pStyle w:val="Tables"/>
            </w:pPr>
            <w:r w:rsidRPr="00EB61EF">
              <w:t xml:space="preserve">    24,383 </w:t>
            </w:r>
          </w:p>
        </w:tc>
        <w:tc>
          <w:tcPr>
            <w:tcW w:w="1417" w:type="dxa"/>
            <w:vAlign w:val="bottom"/>
          </w:tcPr>
          <w:p w:rsidR="001D1810" w:rsidRPr="00EB61EF" w:rsidRDefault="001D1810" w:rsidP="0057495B">
            <w:pPr>
              <w:pStyle w:val="Tables"/>
            </w:pPr>
            <w:r w:rsidRPr="00EB61EF">
              <w:t xml:space="preserve">     8,046 </w:t>
            </w:r>
          </w:p>
        </w:tc>
        <w:tc>
          <w:tcPr>
            <w:tcW w:w="1276" w:type="dxa"/>
            <w:vAlign w:val="bottom"/>
          </w:tcPr>
          <w:p w:rsidR="001D1810" w:rsidRPr="00EB61EF" w:rsidRDefault="001D1810" w:rsidP="0057495B">
            <w:pPr>
              <w:pStyle w:val="Tables"/>
            </w:pPr>
            <w:r w:rsidRPr="00EB61EF">
              <w:t xml:space="preserve">      16,337 </w:t>
            </w:r>
          </w:p>
        </w:tc>
        <w:tc>
          <w:tcPr>
            <w:tcW w:w="1621" w:type="dxa"/>
            <w:vAlign w:val="bottom"/>
          </w:tcPr>
          <w:p w:rsidR="001D1810" w:rsidRPr="00EB61EF" w:rsidRDefault="001D1810" w:rsidP="0057495B">
            <w:pPr>
              <w:pStyle w:val="Tables"/>
            </w:pPr>
            <w:r w:rsidRPr="00EB61EF">
              <w:t xml:space="preserve">      20,421 </w:t>
            </w:r>
          </w:p>
        </w:tc>
      </w:tr>
      <w:tr w:rsidR="001D1810" w:rsidRPr="007A6DA2" w:rsidTr="0057495B">
        <w:trPr>
          <w:cnfStyle w:val="000000010000" w:firstRow="0" w:lastRow="0" w:firstColumn="0" w:lastColumn="0" w:oddVBand="0" w:evenVBand="0" w:oddHBand="0" w:evenHBand="1" w:firstRowFirstColumn="0" w:firstRowLastColumn="0" w:lastRowFirstColumn="0" w:lastRowLastColumn="0"/>
          <w:trHeight w:val="530"/>
          <w:jc w:val="left"/>
        </w:trPr>
        <w:tc>
          <w:tcPr>
            <w:tcW w:w="1476" w:type="dxa"/>
            <w:hideMark/>
          </w:tcPr>
          <w:p w:rsidR="001D1810" w:rsidRPr="007A6DA2" w:rsidRDefault="001D1810" w:rsidP="0057495B">
            <w:pPr>
              <w:pStyle w:val="Tables"/>
            </w:pPr>
            <w:r w:rsidRPr="007A6DA2">
              <w:t>More than weekly</w:t>
            </w:r>
          </w:p>
        </w:tc>
        <w:tc>
          <w:tcPr>
            <w:tcW w:w="1184" w:type="dxa"/>
            <w:vAlign w:val="bottom"/>
            <w:hideMark/>
          </w:tcPr>
          <w:p w:rsidR="001D1810" w:rsidRPr="00EB61EF" w:rsidRDefault="001D1810" w:rsidP="0057495B">
            <w:pPr>
              <w:pStyle w:val="Tables"/>
            </w:pPr>
            <w:r w:rsidRPr="00EB61EF">
              <w:t xml:space="preserve">     3,033 </w:t>
            </w:r>
          </w:p>
        </w:tc>
        <w:tc>
          <w:tcPr>
            <w:tcW w:w="1134" w:type="dxa"/>
            <w:vAlign w:val="bottom"/>
            <w:hideMark/>
          </w:tcPr>
          <w:p w:rsidR="001D1810" w:rsidRPr="00EB61EF" w:rsidRDefault="001D1810" w:rsidP="0057495B">
            <w:pPr>
              <w:pStyle w:val="Tables"/>
            </w:pPr>
            <w:r w:rsidRPr="00EB61EF">
              <w:t xml:space="preserve">     9,533 </w:t>
            </w:r>
          </w:p>
        </w:tc>
        <w:tc>
          <w:tcPr>
            <w:tcW w:w="1134" w:type="dxa"/>
            <w:vAlign w:val="bottom"/>
            <w:hideMark/>
          </w:tcPr>
          <w:p w:rsidR="001D1810" w:rsidRPr="00EB61EF" w:rsidRDefault="001D1810" w:rsidP="0057495B">
            <w:pPr>
              <w:pStyle w:val="Tables"/>
            </w:pPr>
            <w:r w:rsidRPr="00EB61EF">
              <w:t xml:space="preserve">    12,566 </w:t>
            </w:r>
          </w:p>
        </w:tc>
        <w:tc>
          <w:tcPr>
            <w:tcW w:w="1417" w:type="dxa"/>
            <w:vAlign w:val="bottom"/>
          </w:tcPr>
          <w:p w:rsidR="001D1810" w:rsidRPr="00EB61EF" w:rsidRDefault="001D1810" w:rsidP="0057495B">
            <w:pPr>
              <w:pStyle w:val="Tables"/>
            </w:pPr>
            <w:r w:rsidRPr="00EB61EF">
              <w:t xml:space="preserve">     4,147 </w:t>
            </w:r>
          </w:p>
        </w:tc>
        <w:tc>
          <w:tcPr>
            <w:tcW w:w="1276" w:type="dxa"/>
            <w:vAlign w:val="bottom"/>
          </w:tcPr>
          <w:p w:rsidR="001D1810" w:rsidRPr="00EB61EF" w:rsidRDefault="001D1810" w:rsidP="0057495B">
            <w:pPr>
              <w:pStyle w:val="Tables"/>
            </w:pPr>
            <w:r w:rsidRPr="00EB61EF">
              <w:t xml:space="preserve">       8,419 </w:t>
            </w:r>
          </w:p>
        </w:tc>
        <w:tc>
          <w:tcPr>
            <w:tcW w:w="1621" w:type="dxa"/>
            <w:vAlign w:val="bottom"/>
          </w:tcPr>
          <w:p w:rsidR="001D1810" w:rsidRPr="00EB61EF" w:rsidRDefault="001D1810" w:rsidP="0057495B">
            <w:pPr>
              <w:pStyle w:val="Tables"/>
            </w:pPr>
            <w:r w:rsidRPr="00EB61EF">
              <w:t xml:space="preserve">      10,524 </w:t>
            </w:r>
          </w:p>
        </w:tc>
      </w:tr>
      <w:tr w:rsidR="001D1810" w:rsidRPr="007A6DA2" w:rsidTr="0057495B">
        <w:trPr>
          <w:cnfStyle w:val="000000100000" w:firstRow="0" w:lastRow="0" w:firstColumn="0" w:lastColumn="0" w:oddVBand="0" w:evenVBand="0" w:oddHBand="1" w:evenHBand="0" w:firstRowFirstColumn="0" w:firstRowLastColumn="0" w:lastRowFirstColumn="0" w:lastRowLastColumn="0"/>
          <w:trHeight w:val="530"/>
          <w:jc w:val="left"/>
        </w:trPr>
        <w:tc>
          <w:tcPr>
            <w:tcW w:w="1476" w:type="dxa"/>
            <w:hideMark/>
          </w:tcPr>
          <w:p w:rsidR="001D1810" w:rsidRPr="007A6DA2" w:rsidRDefault="001D1810" w:rsidP="0057495B">
            <w:pPr>
              <w:pStyle w:val="Tables"/>
            </w:pPr>
            <w:r w:rsidRPr="007A6DA2">
              <w:t>Total</w:t>
            </w:r>
          </w:p>
        </w:tc>
        <w:tc>
          <w:tcPr>
            <w:tcW w:w="1184" w:type="dxa"/>
            <w:vAlign w:val="bottom"/>
            <w:hideMark/>
          </w:tcPr>
          <w:p w:rsidR="001D1810" w:rsidRPr="00EB61EF" w:rsidRDefault="001D1810" w:rsidP="0057495B">
            <w:pPr>
              <w:pStyle w:val="Tables"/>
            </w:pPr>
            <w:r w:rsidRPr="00EB61EF">
              <w:t xml:space="preserve">    14,721 </w:t>
            </w:r>
          </w:p>
        </w:tc>
        <w:tc>
          <w:tcPr>
            <w:tcW w:w="1134" w:type="dxa"/>
            <w:vAlign w:val="bottom"/>
            <w:hideMark/>
          </w:tcPr>
          <w:p w:rsidR="001D1810" w:rsidRPr="00EB61EF" w:rsidRDefault="001D1810" w:rsidP="0057495B">
            <w:pPr>
              <w:pStyle w:val="Tables"/>
            </w:pPr>
            <w:r w:rsidRPr="00EB61EF">
              <w:t xml:space="preserve">    22,228 </w:t>
            </w:r>
          </w:p>
        </w:tc>
        <w:tc>
          <w:tcPr>
            <w:tcW w:w="1134" w:type="dxa"/>
            <w:vAlign w:val="bottom"/>
            <w:hideMark/>
          </w:tcPr>
          <w:p w:rsidR="001D1810" w:rsidRPr="00EB61EF" w:rsidRDefault="001D1810" w:rsidP="0057495B">
            <w:pPr>
              <w:pStyle w:val="Tables"/>
            </w:pPr>
            <w:r w:rsidRPr="00EB61EF">
              <w:t xml:space="preserve">    36,949 </w:t>
            </w:r>
          </w:p>
        </w:tc>
        <w:tc>
          <w:tcPr>
            <w:tcW w:w="1417" w:type="dxa"/>
            <w:vAlign w:val="bottom"/>
          </w:tcPr>
          <w:p w:rsidR="001D1810" w:rsidRPr="00EB61EF" w:rsidRDefault="001D1810" w:rsidP="0057495B">
            <w:pPr>
              <w:pStyle w:val="Tables"/>
            </w:pPr>
            <w:r w:rsidRPr="00EB61EF">
              <w:t xml:space="preserve">    12,193 </w:t>
            </w:r>
          </w:p>
        </w:tc>
        <w:tc>
          <w:tcPr>
            <w:tcW w:w="1276" w:type="dxa"/>
            <w:vAlign w:val="bottom"/>
          </w:tcPr>
          <w:p w:rsidR="001D1810" w:rsidRPr="00EB61EF" w:rsidRDefault="001D1810" w:rsidP="0057495B">
            <w:pPr>
              <w:pStyle w:val="Tables"/>
            </w:pPr>
            <w:r w:rsidRPr="00EB61EF">
              <w:t xml:space="preserve">      24,756 </w:t>
            </w:r>
          </w:p>
        </w:tc>
        <w:tc>
          <w:tcPr>
            <w:tcW w:w="1621" w:type="dxa"/>
            <w:vAlign w:val="bottom"/>
          </w:tcPr>
          <w:p w:rsidR="001D1810" w:rsidRPr="00EB61EF" w:rsidRDefault="001D1810" w:rsidP="009A1986">
            <w:pPr>
              <w:pStyle w:val="Tables"/>
              <w:keepNext/>
            </w:pPr>
            <w:r w:rsidRPr="00EB61EF">
              <w:t xml:space="preserve">      30,945 </w:t>
            </w:r>
          </w:p>
        </w:tc>
      </w:tr>
    </w:tbl>
    <w:p w:rsidR="009A1986" w:rsidRDefault="009A1986" w:rsidP="009A1986">
      <w:pPr>
        <w:pStyle w:val="Caption"/>
        <w:framePr w:hSpace="180" w:wrap="around" w:vAnchor="text" w:hAnchor="page" w:x="3136" w:y="3456"/>
      </w:pPr>
      <w:bookmarkStart w:id="152" w:name="_Toc366769127"/>
      <w:r>
        <w:t xml:space="preserve">Table </w:t>
      </w:r>
      <w:r w:rsidR="00CA7023">
        <w:fldChar w:fldCharType="begin"/>
      </w:r>
      <w:r>
        <w:instrText xml:space="preserve"> SEQ Table \* ARABIC </w:instrText>
      </w:r>
      <w:r w:rsidR="00CA7023">
        <w:fldChar w:fldCharType="separate"/>
      </w:r>
      <w:r w:rsidR="00FF5EB2">
        <w:rPr>
          <w:noProof/>
        </w:rPr>
        <w:t>10</w:t>
      </w:r>
      <w:r w:rsidR="00CA7023">
        <w:fldChar w:fldCharType="end"/>
      </w:r>
      <w:r>
        <w:t xml:space="preserve">: </w:t>
      </w:r>
      <w:r w:rsidRPr="004362B3">
        <w:t>Annual Volumes Available for a Direct Call Service</w:t>
      </w:r>
      <w:bookmarkEnd w:id="152"/>
    </w:p>
    <w:p w:rsidR="001D1810" w:rsidRPr="003C6C24" w:rsidRDefault="001D1810" w:rsidP="001D1810">
      <w:pPr>
        <w:spacing w:before="240"/>
        <w:jc w:val="center"/>
        <w:rPr>
          <w:b/>
          <w:bCs/>
          <w:color w:val="353D30" w:themeColor="accent2"/>
          <w:szCs w:val="18"/>
        </w:rPr>
      </w:pPr>
    </w:p>
    <w:p w:rsidR="001D1810" w:rsidRDefault="001D1810" w:rsidP="001D1810">
      <w:pPr>
        <w:spacing w:before="240"/>
        <w:rPr>
          <w:rFonts w:asciiTheme="majorHAnsi" w:eastAsiaTheme="majorEastAsia" w:hAnsiTheme="majorHAnsi" w:cstheme="majorHAnsi"/>
          <w:bCs/>
          <w:color w:val="353D30" w:themeColor="text1"/>
          <w:szCs w:val="22"/>
        </w:rPr>
      </w:pPr>
      <w:r>
        <w:rPr>
          <w:rFonts w:asciiTheme="majorHAnsi" w:eastAsiaTheme="majorEastAsia" w:hAnsiTheme="majorHAnsi" w:cstheme="majorHAnsi"/>
          <w:bCs/>
          <w:color w:val="353D30" w:themeColor="text1"/>
          <w:szCs w:val="22"/>
        </w:rPr>
        <w:t>The above annual volumes can be expressed as volumes per call. These are shown in the table below:</w:t>
      </w:r>
    </w:p>
    <w:tbl>
      <w:tblPr>
        <w:tblStyle w:val="Style1"/>
        <w:tblW w:w="6629" w:type="dxa"/>
        <w:tblLook w:val="0420" w:firstRow="1" w:lastRow="0" w:firstColumn="0" w:lastColumn="0" w:noHBand="0" w:noVBand="1"/>
      </w:tblPr>
      <w:tblGrid>
        <w:gridCol w:w="1416"/>
        <w:gridCol w:w="1244"/>
        <w:gridCol w:w="1134"/>
        <w:gridCol w:w="2835"/>
      </w:tblGrid>
      <w:tr w:rsidR="001D1810" w:rsidRPr="007A6DA2" w:rsidTr="009A1986">
        <w:trPr>
          <w:cnfStyle w:val="100000000000" w:firstRow="1" w:lastRow="0" w:firstColumn="0" w:lastColumn="0" w:oddVBand="0" w:evenVBand="0" w:oddHBand="0" w:evenHBand="0" w:firstRowFirstColumn="0" w:firstRowLastColumn="0" w:lastRowFirstColumn="0" w:lastRowLastColumn="0"/>
          <w:trHeight w:val="464"/>
        </w:trPr>
        <w:tc>
          <w:tcPr>
            <w:tcW w:w="1416" w:type="dxa"/>
            <w:hideMark/>
          </w:tcPr>
          <w:p w:rsidR="001D1810" w:rsidRPr="00B17614" w:rsidRDefault="001D1810" w:rsidP="009A1986">
            <w:pPr>
              <w:pStyle w:val="Tables"/>
              <w:spacing w:before="144" w:after="144"/>
              <w:jc w:val="center"/>
              <w:rPr>
                <w:lang w:val="en-AU"/>
              </w:rPr>
            </w:pPr>
            <w:r w:rsidRPr="00B17614">
              <w:rPr>
                <w:lang w:val="en-AU"/>
              </w:rPr>
              <w:t>Service</w:t>
            </w:r>
          </w:p>
        </w:tc>
        <w:tc>
          <w:tcPr>
            <w:tcW w:w="1244" w:type="dxa"/>
            <w:hideMark/>
          </w:tcPr>
          <w:p w:rsidR="001D1810" w:rsidRPr="00B17614" w:rsidRDefault="001D1810" w:rsidP="009A1986">
            <w:pPr>
              <w:pStyle w:val="Tables"/>
              <w:spacing w:before="144" w:after="144"/>
              <w:jc w:val="center"/>
              <w:rPr>
                <w:lang w:val="en-AU"/>
              </w:rPr>
            </w:pPr>
            <w:r w:rsidRPr="00B17614">
              <w:rPr>
                <w:lang w:val="en-AU"/>
              </w:rPr>
              <w:t>Burnie</w:t>
            </w:r>
          </w:p>
        </w:tc>
        <w:tc>
          <w:tcPr>
            <w:tcW w:w="1134" w:type="dxa"/>
            <w:hideMark/>
          </w:tcPr>
          <w:p w:rsidR="001D1810" w:rsidRPr="00B17614" w:rsidRDefault="001D1810" w:rsidP="009A1986">
            <w:pPr>
              <w:pStyle w:val="Tables"/>
              <w:spacing w:before="144" w:after="144"/>
              <w:jc w:val="center"/>
              <w:rPr>
                <w:lang w:val="en-AU"/>
              </w:rPr>
            </w:pPr>
            <w:r w:rsidRPr="00B17614">
              <w:rPr>
                <w:lang w:val="en-AU"/>
              </w:rPr>
              <w:t>Bell Bay</w:t>
            </w:r>
          </w:p>
        </w:tc>
        <w:tc>
          <w:tcPr>
            <w:tcW w:w="2835" w:type="dxa"/>
            <w:hideMark/>
          </w:tcPr>
          <w:p w:rsidR="001D1810" w:rsidRPr="00B17614" w:rsidRDefault="001D1810" w:rsidP="009A1986">
            <w:pPr>
              <w:pStyle w:val="Tables"/>
              <w:spacing w:before="144" w:after="144"/>
              <w:jc w:val="center"/>
              <w:rPr>
                <w:lang w:val="en-AU"/>
              </w:rPr>
            </w:pPr>
            <w:r w:rsidRPr="00B17614">
              <w:rPr>
                <w:lang w:val="en-AU"/>
              </w:rPr>
              <w:t>Total (consolidated at one port)</w:t>
            </w:r>
          </w:p>
        </w:tc>
      </w:tr>
      <w:tr w:rsidR="001D1810" w:rsidRPr="007A6DA2" w:rsidTr="009A1986">
        <w:trPr>
          <w:cnfStyle w:val="000000100000" w:firstRow="0" w:lastRow="0" w:firstColumn="0" w:lastColumn="0" w:oddVBand="0" w:evenVBand="0" w:oddHBand="1" w:evenHBand="0" w:firstRowFirstColumn="0" w:firstRowLastColumn="0" w:lastRowFirstColumn="0" w:lastRowLastColumn="0"/>
          <w:trHeight w:val="530"/>
        </w:trPr>
        <w:tc>
          <w:tcPr>
            <w:tcW w:w="1416" w:type="dxa"/>
            <w:hideMark/>
          </w:tcPr>
          <w:p w:rsidR="001D1810" w:rsidRPr="00E34CE9" w:rsidRDefault="001D1810" w:rsidP="009A1986">
            <w:pPr>
              <w:pStyle w:val="Tables"/>
            </w:pPr>
            <w:r w:rsidRPr="00E34CE9">
              <w:t>Weekly service</w:t>
            </w:r>
          </w:p>
        </w:tc>
        <w:tc>
          <w:tcPr>
            <w:tcW w:w="1244" w:type="dxa"/>
            <w:hideMark/>
          </w:tcPr>
          <w:p w:rsidR="001D1810" w:rsidRPr="00E34CE9" w:rsidRDefault="001D1810" w:rsidP="009A1986">
            <w:pPr>
              <w:pStyle w:val="Tables"/>
              <w:jc w:val="center"/>
            </w:pPr>
            <w:r w:rsidRPr="00E34CE9">
              <w:t>234</w:t>
            </w:r>
          </w:p>
        </w:tc>
        <w:tc>
          <w:tcPr>
            <w:tcW w:w="1134" w:type="dxa"/>
            <w:hideMark/>
          </w:tcPr>
          <w:p w:rsidR="001D1810" w:rsidRPr="00E34CE9" w:rsidRDefault="001D1810" w:rsidP="009A1986">
            <w:pPr>
              <w:pStyle w:val="Tables"/>
              <w:jc w:val="center"/>
            </w:pPr>
            <w:r w:rsidRPr="00E34CE9">
              <w:t>353</w:t>
            </w:r>
          </w:p>
        </w:tc>
        <w:tc>
          <w:tcPr>
            <w:tcW w:w="2835" w:type="dxa"/>
            <w:hideMark/>
          </w:tcPr>
          <w:p w:rsidR="001D1810" w:rsidRPr="00E34CE9" w:rsidRDefault="001D1810" w:rsidP="009A1986">
            <w:pPr>
              <w:pStyle w:val="Tables"/>
              <w:jc w:val="center"/>
            </w:pPr>
            <w:r w:rsidRPr="00E34CE9">
              <w:t>586</w:t>
            </w:r>
          </w:p>
        </w:tc>
      </w:tr>
      <w:tr w:rsidR="001D1810" w:rsidRPr="007A6DA2" w:rsidTr="009A1986">
        <w:trPr>
          <w:cnfStyle w:val="000000010000" w:firstRow="0" w:lastRow="0" w:firstColumn="0" w:lastColumn="0" w:oddVBand="0" w:evenVBand="0" w:oddHBand="0" w:evenHBand="1" w:firstRowFirstColumn="0" w:firstRowLastColumn="0" w:lastRowFirstColumn="0" w:lastRowLastColumn="0"/>
          <w:trHeight w:val="530"/>
        </w:trPr>
        <w:tc>
          <w:tcPr>
            <w:tcW w:w="1416" w:type="dxa"/>
            <w:hideMark/>
          </w:tcPr>
          <w:p w:rsidR="001D1810" w:rsidRPr="00E34CE9" w:rsidRDefault="001D1810" w:rsidP="009A1986">
            <w:pPr>
              <w:pStyle w:val="Tables"/>
            </w:pPr>
            <w:r w:rsidRPr="00E34CE9">
              <w:t>Fortnightly</w:t>
            </w:r>
          </w:p>
        </w:tc>
        <w:tc>
          <w:tcPr>
            <w:tcW w:w="1244" w:type="dxa"/>
            <w:hideMark/>
          </w:tcPr>
          <w:p w:rsidR="001D1810" w:rsidRPr="00E34CE9" w:rsidRDefault="001D1810" w:rsidP="009A1986">
            <w:pPr>
              <w:pStyle w:val="Tables"/>
              <w:jc w:val="center"/>
            </w:pPr>
            <w:r w:rsidRPr="00E34CE9">
              <w:t>96</w:t>
            </w:r>
          </w:p>
        </w:tc>
        <w:tc>
          <w:tcPr>
            <w:tcW w:w="1134" w:type="dxa"/>
            <w:hideMark/>
          </w:tcPr>
          <w:p w:rsidR="001D1810" w:rsidRPr="00E34CE9" w:rsidRDefault="001D1810" w:rsidP="009A1986">
            <w:pPr>
              <w:pStyle w:val="Tables"/>
              <w:jc w:val="center"/>
            </w:pPr>
            <w:r w:rsidRPr="00E34CE9">
              <w:t>302</w:t>
            </w:r>
          </w:p>
        </w:tc>
        <w:tc>
          <w:tcPr>
            <w:tcW w:w="2835" w:type="dxa"/>
            <w:hideMark/>
          </w:tcPr>
          <w:p w:rsidR="001D1810" w:rsidRPr="00E34CE9" w:rsidRDefault="001D1810" w:rsidP="009A1986">
            <w:pPr>
              <w:pStyle w:val="Tables"/>
              <w:jc w:val="center"/>
            </w:pPr>
            <w:r w:rsidRPr="00E34CE9">
              <w:t>399</w:t>
            </w:r>
          </w:p>
        </w:tc>
      </w:tr>
      <w:tr w:rsidR="001D1810" w:rsidRPr="007A6DA2" w:rsidTr="009A1986">
        <w:trPr>
          <w:cnfStyle w:val="000000100000" w:firstRow="0" w:lastRow="0" w:firstColumn="0" w:lastColumn="0" w:oddVBand="0" w:evenVBand="0" w:oddHBand="1" w:evenHBand="0" w:firstRowFirstColumn="0" w:firstRowLastColumn="0" w:lastRowFirstColumn="0" w:lastRowLastColumn="0"/>
          <w:trHeight w:val="530"/>
        </w:trPr>
        <w:tc>
          <w:tcPr>
            <w:tcW w:w="1416" w:type="dxa"/>
            <w:hideMark/>
          </w:tcPr>
          <w:p w:rsidR="001D1810" w:rsidRPr="00E34CE9" w:rsidRDefault="001D1810" w:rsidP="009A1986">
            <w:pPr>
              <w:pStyle w:val="Tables"/>
            </w:pPr>
            <w:r w:rsidRPr="00E34CE9">
              <w:t>Monthly</w:t>
            </w:r>
          </w:p>
        </w:tc>
        <w:tc>
          <w:tcPr>
            <w:tcW w:w="1244" w:type="dxa"/>
            <w:hideMark/>
          </w:tcPr>
          <w:p w:rsidR="001D1810" w:rsidRPr="00E34CE9" w:rsidRDefault="001D1810" w:rsidP="009A1986">
            <w:pPr>
              <w:pStyle w:val="Tables"/>
              <w:jc w:val="center"/>
            </w:pPr>
            <w:r w:rsidRPr="00E34CE9">
              <w:t>209</w:t>
            </w:r>
          </w:p>
        </w:tc>
        <w:tc>
          <w:tcPr>
            <w:tcW w:w="1134" w:type="dxa"/>
            <w:hideMark/>
          </w:tcPr>
          <w:p w:rsidR="001D1810" w:rsidRPr="00E34CE9" w:rsidRDefault="001D1810" w:rsidP="009A1986">
            <w:pPr>
              <w:pStyle w:val="Tables"/>
              <w:jc w:val="center"/>
            </w:pPr>
            <w:r w:rsidRPr="00E34CE9">
              <w:t>655</w:t>
            </w:r>
          </w:p>
        </w:tc>
        <w:tc>
          <w:tcPr>
            <w:tcW w:w="2835" w:type="dxa"/>
            <w:hideMark/>
          </w:tcPr>
          <w:p w:rsidR="001D1810" w:rsidRPr="00E34CE9" w:rsidRDefault="001D1810" w:rsidP="009A1986">
            <w:pPr>
              <w:pStyle w:val="Tables"/>
              <w:keepNext/>
              <w:jc w:val="center"/>
            </w:pPr>
            <w:r w:rsidRPr="00E34CE9">
              <w:t>864</w:t>
            </w:r>
          </w:p>
        </w:tc>
      </w:tr>
    </w:tbl>
    <w:p w:rsidR="009A1986" w:rsidRDefault="009A1986" w:rsidP="009A1986">
      <w:pPr>
        <w:pStyle w:val="Caption"/>
        <w:framePr w:hSpace="180" w:wrap="around" w:vAnchor="text" w:hAnchor="page" w:x="3203" w:y="319"/>
      </w:pPr>
      <w:bookmarkStart w:id="153" w:name="_Toc366769128"/>
      <w:r>
        <w:t xml:space="preserve">Table </w:t>
      </w:r>
      <w:r w:rsidR="00CA7023">
        <w:fldChar w:fldCharType="begin"/>
      </w:r>
      <w:r>
        <w:instrText xml:space="preserve"> SEQ Table \* ARABIC </w:instrText>
      </w:r>
      <w:r w:rsidR="00CA7023">
        <w:fldChar w:fldCharType="separate"/>
      </w:r>
      <w:r w:rsidR="00FF5EB2">
        <w:rPr>
          <w:noProof/>
        </w:rPr>
        <w:t>11</w:t>
      </w:r>
      <w:r w:rsidR="00CA7023">
        <w:fldChar w:fldCharType="end"/>
      </w:r>
      <w:r>
        <w:t xml:space="preserve">: </w:t>
      </w:r>
      <w:r w:rsidRPr="00F30C16">
        <w:t>Annual Volumes Expressed as Volumes per Call</w:t>
      </w:r>
      <w:bookmarkEnd w:id="153"/>
    </w:p>
    <w:p w:rsidR="001D1810" w:rsidRDefault="001D1810" w:rsidP="001D1810">
      <w:pPr>
        <w:spacing w:before="240"/>
        <w:rPr>
          <w:rFonts w:asciiTheme="majorHAnsi" w:eastAsiaTheme="majorEastAsia" w:hAnsiTheme="majorHAnsi" w:cstheme="majorHAnsi"/>
          <w:bCs/>
          <w:color w:val="353D30" w:themeColor="text1"/>
          <w:szCs w:val="22"/>
        </w:rPr>
      </w:pPr>
    </w:p>
    <w:p w:rsidR="001D1810" w:rsidRDefault="001D1810" w:rsidP="001D1810">
      <w:pPr>
        <w:spacing w:after="200"/>
      </w:pPr>
      <w:r>
        <w:t>The above simple analysis shows that the volume of containers available to ship on a direct call vessel in FY</w:t>
      </w:r>
      <w:r w:rsidR="006C63E9">
        <w:t xml:space="preserve"> 20</w:t>
      </w:r>
      <w:r>
        <w:t xml:space="preserve">11/12 would have been 30,945 TEU/yr or about 600 TEU per call for an international container ship calling weekly. It assumes the cargoes could be assembled in one place. </w:t>
      </w:r>
    </w:p>
    <w:p w:rsidR="001D1810" w:rsidRDefault="001D1810" w:rsidP="001D1810">
      <w:pPr>
        <w:spacing w:after="200"/>
      </w:pPr>
      <w:r>
        <w:t xml:space="preserve">This is below the volume suggested in the abovementioned paper is likely to attract a direct call vessel, which was 700-1000 TEU.  From this it would suggest that there is sufficient volume to attract a vessel to call monthly.  If volumes could not be aggregated </w:t>
      </w:r>
      <w:r w:rsidR="00EB61EF">
        <w:t>in</w:t>
      </w:r>
      <w:r>
        <w:t xml:space="preserve"> one place then the prospect of attracting a direct call vessel would be substantially less. </w:t>
      </w:r>
    </w:p>
    <w:p w:rsidR="001D1810" w:rsidRDefault="001D1810" w:rsidP="001D1810">
      <w:pPr>
        <w:spacing w:after="200"/>
        <w:jc w:val="left"/>
      </w:pPr>
      <w:r>
        <w:br w:type="page"/>
      </w:r>
    </w:p>
    <w:p w:rsidR="001D1810" w:rsidRPr="00500277" w:rsidRDefault="001D1810" w:rsidP="001D1810">
      <w:r>
        <w:lastRenderedPageBreak/>
        <w:t xml:space="preserve">Other issues which mitigate against a return to direct call vessels are: </w:t>
      </w:r>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1895"/>
        <w:gridCol w:w="7144"/>
      </w:tblGrid>
      <w:tr w:rsidR="001D1810" w:rsidRPr="00C90A6B" w:rsidTr="0057495B">
        <w:trPr>
          <w:trHeight w:val="525"/>
        </w:trPr>
        <w:tc>
          <w:tcPr>
            <w:tcW w:w="1895" w:type="dxa"/>
            <w:shd w:val="clear" w:color="auto" w:fill="EFF0EF" w:themeFill="accent4"/>
            <w:vAlign w:val="center"/>
          </w:tcPr>
          <w:p w:rsidR="001D1810" w:rsidRPr="00F91EAD" w:rsidRDefault="001D1810" w:rsidP="0057495B">
            <w:pPr>
              <w:pStyle w:val="ListParagraph"/>
              <w:spacing w:before="0" w:after="0"/>
              <w:ind w:left="0" w:right="-62"/>
              <w:jc w:val="center"/>
              <w:rPr>
                <w:b/>
              </w:rPr>
            </w:pPr>
            <w:r w:rsidRPr="00F91EAD">
              <w:rPr>
                <w:b/>
              </w:rPr>
              <w:t>Observation</w:t>
            </w:r>
          </w:p>
        </w:tc>
        <w:tc>
          <w:tcPr>
            <w:tcW w:w="7144" w:type="dxa"/>
            <w:shd w:val="clear" w:color="auto" w:fill="auto"/>
            <w:vAlign w:val="center"/>
          </w:tcPr>
          <w:p w:rsidR="001D1810" w:rsidRPr="00F91EAD" w:rsidRDefault="001D1810" w:rsidP="0057495B">
            <w:pPr>
              <w:spacing w:before="0" w:after="0"/>
              <w:ind w:right="-62"/>
              <w:jc w:val="center"/>
              <w:rPr>
                <w:b/>
              </w:rPr>
            </w:pPr>
            <w:r w:rsidRPr="00F91EAD">
              <w:rPr>
                <w:b/>
              </w:rPr>
              <w:t>Comment</w:t>
            </w:r>
          </w:p>
        </w:tc>
      </w:tr>
      <w:tr w:rsidR="001D1810" w:rsidRPr="00C90A6B" w:rsidTr="0057495B">
        <w:trPr>
          <w:cnfStyle w:val="000000010000" w:firstRow="0" w:lastRow="0" w:firstColumn="0" w:lastColumn="0" w:oddVBand="0" w:evenVBand="0" w:oddHBand="0" w:evenHBand="1" w:firstRowFirstColumn="0" w:firstRowLastColumn="0" w:lastRowFirstColumn="0" w:lastRowLastColumn="0"/>
        </w:trPr>
        <w:tc>
          <w:tcPr>
            <w:tcW w:w="1895" w:type="dxa"/>
            <w:shd w:val="clear" w:color="auto" w:fill="EFF0EF" w:themeFill="accent4"/>
          </w:tcPr>
          <w:p w:rsidR="001D1810" w:rsidRPr="00767A8D" w:rsidRDefault="001D1810" w:rsidP="006C63E9">
            <w:pPr>
              <w:pStyle w:val="Tables"/>
              <w:rPr>
                <w:b/>
              </w:rPr>
            </w:pPr>
            <w:r>
              <w:rPr>
                <w:b/>
              </w:rPr>
              <w:t xml:space="preserve">International </w:t>
            </w:r>
            <w:r w:rsidR="006C63E9">
              <w:rPr>
                <w:b/>
              </w:rPr>
              <w:t>C</w:t>
            </w:r>
            <w:r>
              <w:rPr>
                <w:b/>
              </w:rPr>
              <w:t xml:space="preserve">ontainer </w:t>
            </w:r>
            <w:r w:rsidR="006C63E9">
              <w:rPr>
                <w:b/>
              </w:rPr>
              <w:t>I</w:t>
            </w:r>
            <w:r>
              <w:rPr>
                <w:b/>
              </w:rPr>
              <w:t>mbalance</w:t>
            </w:r>
          </w:p>
        </w:tc>
        <w:tc>
          <w:tcPr>
            <w:tcW w:w="7144" w:type="dxa"/>
            <w:shd w:val="clear" w:color="auto" w:fill="auto"/>
          </w:tcPr>
          <w:p w:rsidR="001D1810" w:rsidRPr="00C90A6B" w:rsidRDefault="001D1810" w:rsidP="0057495B">
            <w:r>
              <w:t>The imbalance between import and export would result in significant one way freight for the liner service and while this could be supplemented with importing empty containers it is unlikely to be profitable and is counter to the normal liner trade serving Australia from Asia which are predominantly loaded containers moving south.</w:t>
            </w:r>
          </w:p>
        </w:tc>
      </w:tr>
      <w:tr w:rsidR="001D1810" w:rsidRPr="00D75FE8" w:rsidTr="0057495B">
        <w:tc>
          <w:tcPr>
            <w:tcW w:w="1895" w:type="dxa"/>
            <w:shd w:val="clear" w:color="auto" w:fill="EFF0EF" w:themeFill="accent4"/>
          </w:tcPr>
          <w:p w:rsidR="001D1810" w:rsidRPr="00767A8D" w:rsidRDefault="001D1810" w:rsidP="0057495B">
            <w:pPr>
              <w:pStyle w:val="Tables"/>
              <w:rPr>
                <w:b/>
              </w:rPr>
            </w:pPr>
            <w:r>
              <w:rPr>
                <w:b/>
              </w:rPr>
              <w:t xml:space="preserve">Trend to </w:t>
            </w:r>
            <w:r w:rsidR="006C63E9">
              <w:rPr>
                <w:b/>
              </w:rPr>
              <w:t>L</w:t>
            </w:r>
            <w:r w:rsidRPr="00767A8D">
              <w:rPr>
                <w:b/>
              </w:rPr>
              <w:t xml:space="preserve">arger International Liner </w:t>
            </w:r>
            <w:r w:rsidR="006C63E9">
              <w:rPr>
                <w:b/>
              </w:rPr>
              <w:t>V</w:t>
            </w:r>
            <w:r w:rsidRPr="00767A8D">
              <w:rPr>
                <w:b/>
              </w:rPr>
              <w:t>essels</w:t>
            </w:r>
          </w:p>
          <w:p w:rsidR="001D1810" w:rsidRPr="00767A8D" w:rsidRDefault="001D1810" w:rsidP="0057495B">
            <w:pPr>
              <w:pStyle w:val="Tables"/>
              <w:rPr>
                <w:b/>
              </w:rPr>
            </w:pPr>
          </w:p>
        </w:tc>
        <w:tc>
          <w:tcPr>
            <w:tcW w:w="7144" w:type="dxa"/>
            <w:shd w:val="clear" w:color="auto" w:fill="auto"/>
          </w:tcPr>
          <w:p w:rsidR="001D1810" w:rsidRDefault="001D1810" w:rsidP="0057495B">
            <w:r>
              <w:t>The adoption of larger vessels in the International Liner shipping trades with Australia feeding into the large hubs such as Singapore continues to reduce the cost of shipping.  The economies of scale of the larger vessels enjoy make it difficult for smaller direct call vessels to compete.  In response direct call vessels are tending to larger sizes.</w:t>
            </w:r>
          </w:p>
          <w:p w:rsidR="001D1810" w:rsidRPr="00D75FE8" w:rsidRDefault="001D1810" w:rsidP="0057495B">
            <w:pPr>
              <w:rPr>
                <w:rFonts w:eastAsiaTheme="majorEastAsia"/>
                <w:bCs/>
                <w:color w:val="7AB800" w:themeColor="accent1"/>
              </w:rPr>
            </w:pPr>
            <w:r>
              <w:t>To be efficient larger vessels seek to make fewer calls, load larger cargoes and load quickly.  To attract direct call vessels increasingly larger cargo parcels and improving port infrastructure will be required.  In a slow growing economy</w:t>
            </w:r>
            <w:r w:rsidR="00EB61EF">
              <w:t xml:space="preserve"> such as Tasmania</w:t>
            </w:r>
            <w:r>
              <w:t xml:space="preserve"> the likelihood of a direct call reduces in the face of this trend. </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Pr>
        <w:tc>
          <w:tcPr>
            <w:tcW w:w="1895" w:type="dxa"/>
            <w:shd w:val="clear" w:color="auto" w:fill="EFF0EF" w:themeFill="accent4"/>
          </w:tcPr>
          <w:p w:rsidR="001D1810" w:rsidRPr="00767A8D" w:rsidRDefault="001D1810" w:rsidP="0057495B">
            <w:pPr>
              <w:pStyle w:val="Tables"/>
              <w:rPr>
                <w:b/>
              </w:rPr>
            </w:pPr>
            <w:r w:rsidRPr="00767A8D">
              <w:rPr>
                <w:b/>
              </w:rPr>
              <w:t>Frequencies</w:t>
            </w:r>
          </w:p>
        </w:tc>
        <w:tc>
          <w:tcPr>
            <w:tcW w:w="7144" w:type="dxa"/>
            <w:shd w:val="clear" w:color="auto" w:fill="auto"/>
          </w:tcPr>
          <w:p w:rsidR="001D1810" w:rsidRDefault="001D1810" w:rsidP="0057495B">
            <w:r w:rsidRPr="002E32E7">
              <w:t xml:space="preserve">International </w:t>
            </w:r>
            <w:r>
              <w:t>transhipments</w:t>
            </w:r>
            <w:r w:rsidRPr="002E32E7">
              <w:t xml:space="preserve"> through </w:t>
            </w:r>
            <w:r>
              <w:t>PoM</w:t>
            </w:r>
            <w:r w:rsidRPr="002E32E7">
              <w:t xml:space="preserve"> are able to connect to daily liner services through </w:t>
            </w:r>
            <w:r>
              <w:t>PoM</w:t>
            </w:r>
            <w:r w:rsidRPr="002E32E7">
              <w:t xml:space="preserve"> internationally. </w:t>
            </w:r>
            <w:r>
              <w:t xml:space="preserve"> Assuming direct call vessels visit, given the need for significant cargo exchanges, s</w:t>
            </w:r>
            <w:r w:rsidRPr="002E32E7">
              <w:t>ervices to and from Tasm</w:t>
            </w:r>
            <w:r>
              <w:t>ania would likely to be less frequent than weekly.  The demand for direct shipping, however, is cost and service based.  Despite the lower cost if the frequency of service is too low, exporters will prefer to tranship through Melbourne.</w:t>
            </w:r>
          </w:p>
        </w:tc>
      </w:tr>
      <w:tr w:rsidR="001D1810" w:rsidRPr="00D75FE8" w:rsidTr="0057495B">
        <w:tc>
          <w:tcPr>
            <w:tcW w:w="1895" w:type="dxa"/>
            <w:shd w:val="clear" w:color="auto" w:fill="EFF0EF" w:themeFill="accent4"/>
          </w:tcPr>
          <w:p w:rsidR="001D1810" w:rsidRPr="00767A8D" w:rsidRDefault="001D1810" w:rsidP="0057495B">
            <w:pPr>
              <w:pStyle w:val="Tables"/>
              <w:rPr>
                <w:b/>
              </w:rPr>
            </w:pPr>
            <w:r w:rsidRPr="00767A8D">
              <w:rPr>
                <w:b/>
              </w:rPr>
              <w:t>Infrastructure</w:t>
            </w:r>
          </w:p>
        </w:tc>
        <w:tc>
          <w:tcPr>
            <w:tcW w:w="7144" w:type="dxa"/>
            <w:shd w:val="clear" w:color="auto" w:fill="auto"/>
          </w:tcPr>
          <w:p w:rsidR="001D1810" w:rsidRPr="00511A2D" w:rsidRDefault="001D1810" w:rsidP="00910772">
            <w:pPr>
              <w:keepNext/>
            </w:pPr>
            <w:r>
              <w:t xml:space="preserve">Should direct call vessels commence, the trend to larger vessels will require ever more efficient infrastructure and continual upgrading of facilities. Whether it makes good economic sense for Tasmania to keep pace with shipping infrastructure requirements that larger vessels may require is not clear. </w:t>
            </w:r>
          </w:p>
        </w:tc>
      </w:tr>
    </w:tbl>
    <w:p w:rsidR="00910772" w:rsidRDefault="00910772">
      <w:pPr>
        <w:pStyle w:val="Caption"/>
      </w:pPr>
      <w:bookmarkStart w:id="154" w:name="_Toc366769129"/>
      <w:r>
        <w:t xml:space="preserve">Table </w:t>
      </w:r>
      <w:r w:rsidR="00CA7023">
        <w:fldChar w:fldCharType="begin"/>
      </w:r>
      <w:r>
        <w:instrText xml:space="preserve"> SEQ Table \* ARABIC </w:instrText>
      </w:r>
      <w:r w:rsidR="00CA7023">
        <w:fldChar w:fldCharType="separate"/>
      </w:r>
      <w:r w:rsidR="00FF5EB2">
        <w:rPr>
          <w:noProof/>
        </w:rPr>
        <w:t>12</w:t>
      </w:r>
      <w:r w:rsidR="00CA7023">
        <w:fldChar w:fldCharType="end"/>
      </w:r>
      <w:r>
        <w:t xml:space="preserve">: </w:t>
      </w:r>
      <w:r w:rsidRPr="00422EF1">
        <w:t>Direct Ship Calling Barriers</w:t>
      </w:r>
      <w:bookmarkEnd w:id="154"/>
    </w:p>
    <w:p w:rsidR="001D1810" w:rsidRDefault="001D1810" w:rsidP="001D1810"/>
    <w:p w:rsidR="001D1810" w:rsidRPr="00AD43D6" w:rsidRDefault="001D1810" w:rsidP="001D1810">
      <w:r>
        <w:t>In summary, t</w:t>
      </w:r>
      <w:r w:rsidRPr="00AD43D6">
        <w:t xml:space="preserve">he limiting factor </w:t>
      </w:r>
      <w:r>
        <w:t>for a resumption of direct call vessels is</w:t>
      </w:r>
      <w:r w:rsidRPr="00AD43D6">
        <w:t xml:space="preserve"> </w:t>
      </w:r>
      <w:r>
        <w:t>scale</w:t>
      </w:r>
      <w:r w:rsidRPr="00AD43D6">
        <w:t xml:space="preserve">.  </w:t>
      </w:r>
      <w:r>
        <w:t>Only i</w:t>
      </w:r>
      <w:r w:rsidRPr="00AD43D6">
        <w:t xml:space="preserve">f all of Tasmania’s export freight could be loaded and shipped from the one location </w:t>
      </w:r>
      <w:r>
        <w:t xml:space="preserve">or </w:t>
      </w:r>
      <w:r w:rsidRPr="000716A8">
        <w:t xml:space="preserve">if Tasmanian volumes grew strongly </w:t>
      </w:r>
      <w:r>
        <w:t>might</w:t>
      </w:r>
      <w:r w:rsidRPr="00AD43D6">
        <w:t xml:space="preserve"> a resumption of direct call shipping be possible.  </w:t>
      </w:r>
      <w:r>
        <w:t xml:space="preserve">In the absence of these possibilities </w:t>
      </w:r>
      <w:r w:rsidRPr="00AD43D6">
        <w:t xml:space="preserve">the resumption of a service </w:t>
      </w:r>
      <w:r>
        <w:t>i</w:t>
      </w:r>
      <w:r w:rsidRPr="00AD43D6">
        <w:t xml:space="preserve">s unlikely. </w:t>
      </w:r>
    </w:p>
    <w:p w:rsidR="001D1810" w:rsidRDefault="001D1810" w:rsidP="001D1810">
      <w:pPr>
        <w:spacing w:after="200"/>
        <w:jc w:val="left"/>
        <w:rPr>
          <w:rFonts w:asciiTheme="majorHAnsi" w:eastAsiaTheme="majorEastAsia" w:hAnsiTheme="majorHAnsi" w:cstheme="majorHAnsi"/>
          <w:b/>
          <w:bCs/>
          <w:color w:val="353D30" w:themeColor="accent2"/>
          <w:sz w:val="24"/>
          <w:szCs w:val="22"/>
        </w:rPr>
      </w:pPr>
      <w:r>
        <w:br w:type="page"/>
      </w:r>
    </w:p>
    <w:p w:rsidR="001D1810" w:rsidRDefault="001D1810" w:rsidP="008B6FC3">
      <w:pPr>
        <w:pStyle w:val="Heading2"/>
      </w:pPr>
      <w:bookmarkStart w:id="155" w:name="_Toc364154090"/>
      <w:bookmarkStart w:id="156" w:name="_Toc367700236"/>
      <w:r w:rsidRPr="004A21DB">
        <w:lastRenderedPageBreak/>
        <w:t xml:space="preserve">Shipping </w:t>
      </w:r>
      <w:r>
        <w:t>E</w:t>
      </w:r>
      <w:r w:rsidRPr="004A21DB">
        <w:t>conomics</w:t>
      </w:r>
      <w:bookmarkEnd w:id="155"/>
      <w:bookmarkEnd w:id="156"/>
    </w:p>
    <w:p w:rsidR="001D1810" w:rsidRDefault="001D1810" w:rsidP="001D1810">
      <w:r>
        <w:t xml:space="preserve">In this section we consider some shipping economics factors.  Our view is that the application of </w:t>
      </w:r>
      <w:r w:rsidR="00AF6026">
        <w:t>RORO</w:t>
      </w:r>
      <w:r>
        <w:t xml:space="preserve"> vessels to Bass Strait trade is no accident.  These vessels are well suited to the mixed trade which is Bass Straight freight and around the world </w:t>
      </w:r>
      <w:r w:rsidR="00AF6026">
        <w:t>RORO</w:t>
      </w:r>
      <w:r>
        <w:t xml:space="preserve"> vessels are used where the trade is similar. </w:t>
      </w:r>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1895"/>
        <w:gridCol w:w="7144"/>
      </w:tblGrid>
      <w:tr w:rsidR="001D1810" w:rsidRPr="00D75FE8" w:rsidTr="0057495B">
        <w:trPr>
          <w:cnfStyle w:val="000000010000" w:firstRow="0" w:lastRow="0" w:firstColumn="0" w:lastColumn="0" w:oddVBand="0" w:evenVBand="0" w:oddHBand="0" w:evenHBand="1" w:firstRowFirstColumn="0" w:firstRowLastColumn="0" w:lastRowFirstColumn="0" w:lastRowLastColumn="0"/>
          <w:trHeight w:val="537"/>
          <w:tblHeader/>
        </w:trPr>
        <w:tc>
          <w:tcPr>
            <w:tcW w:w="1895" w:type="dxa"/>
            <w:shd w:val="clear" w:color="auto" w:fill="EFF0EF" w:themeFill="accent4"/>
            <w:vAlign w:val="center"/>
          </w:tcPr>
          <w:p w:rsidR="001D1810" w:rsidRPr="00F91EAD" w:rsidRDefault="001D1810" w:rsidP="0057495B">
            <w:pPr>
              <w:pStyle w:val="ListParagraph"/>
              <w:spacing w:before="0" w:after="0"/>
              <w:ind w:left="0" w:right="-62"/>
              <w:jc w:val="center"/>
              <w:rPr>
                <w:b/>
              </w:rPr>
            </w:pPr>
            <w:r w:rsidRPr="00F91EAD">
              <w:rPr>
                <w:b/>
              </w:rPr>
              <w:t>Observation</w:t>
            </w:r>
          </w:p>
        </w:tc>
        <w:tc>
          <w:tcPr>
            <w:tcW w:w="7144" w:type="dxa"/>
            <w:shd w:val="clear" w:color="auto" w:fill="auto"/>
            <w:vAlign w:val="center"/>
          </w:tcPr>
          <w:p w:rsidR="001D1810" w:rsidRPr="00F91EAD" w:rsidRDefault="001D1810" w:rsidP="0057495B">
            <w:pPr>
              <w:spacing w:before="0" w:after="0"/>
              <w:ind w:right="-62"/>
              <w:jc w:val="center"/>
              <w:rPr>
                <w:b/>
              </w:rPr>
            </w:pPr>
            <w:r w:rsidRPr="00F91EAD">
              <w:rPr>
                <w:b/>
              </w:rPr>
              <w:t>Comment</w:t>
            </w:r>
          </w:p>
        </w:tc>
      </w:tr>
      <w:tr w:rsidR="001D1810" w:rsidRPr="00D75FE8" w:rsidTr="0057495B">
        <w:tc>
          <w:tcPr>
            <w:tcW w:w="1895" w:type="dxa"/>
            <w:shd w:val="clear" w:color="auto" w:fill="EFF0EF" w:themeFill="accent4"/>
          </w:tcPr>
          <w:p w:rsidR="001D1810" w:rsidRPr="00767A8D" w:rsidRDefault="00AF6026" w:rsidP="0057495B">
            <w:pPr>
              <w:pStyle w:val="Tables"/>
              <w:rPr>
                <w:b/>
              </w:rPr>
            </w:pPr>
            <w:r>
              <w:rPr>
                <w:b/>
              </w:rPr>
              <w:t>RORO</w:t>
            </w:r>
            <w:r w:rsidR="001D1810" w:rsidRPr="00767A8D">
              <w:rPr>
                <w:b/>
              </w:rPr>
              <w:t xml:space="preserve"> Vessels</w:t>
            </w:r>
          </w:p>
          <w:p w:rsidR="001D1810" w:rsidRPr="00767A8D" w:rsidRDefault="001D1810" w:rsidP="0057495B">
            <w:pPr>
              <w:pStyle w:val="Tables"/>
              <w:rPr>
                <w:b/>
              </w:rPr>
            </w:pPr>
          </w:p>
        </w:tc>
        <w:tc>
          <w:tcPr>
            <w:tcW w:w="7144" w:type="dxa"/>
            <w:shd w:val="clear" w:color="auto" w:fill="auto"/>
          </w:tcPr>
          <w:p w:rsidR="001D1810" w:rsidRDefault="001D1810" w:rsidP="0057495B">
            <w:pPr>
              <w:ind w:right="-64"/>
              <w:jc w:val="left"/>
            </w:pPr>
            <w:r>
              <w:t xml:space="preserve">The scale and type of vessel is normally determined by: </w:t>
            </w:r>
          </w:p>
          <w:p w:rsidR="001D1810" w:rsidRDefault="001D1810" w:rsidP="001D1810">
            <w:pPr>
              <w:pStyle w:val="Bullet1"/>
              <w:numPr>
                <w:ilvl w:val="0"/>
                <w:numId w:val="5"/>
              </w:numPr>
              <w:spacing w:after="60"/>
            </w:pPr>
            <w:r>
              <w:t xml:space="preserve">Volume demand. </w:t>
            </w:r>
          </w:p>
          <w:p w:rsidR="001D1810" w:rsidRDefault="001D1810" w:rsidP="001D1810">
            <w:pPr>
              <w:pStyle w:val="Bullet1"/>
              <w:numPr>
                <w:ilvl w:val="0"/>
                <w:numId w:val="5"/>
              </w:numPr>
              <w:spacing w:after="60"/>
            </w:pPr>
            <w:r>
              <w:t xml:space="preserve">The draft and berths available at the ports concerned. </w:t>
            </w:r>
          </w:p>
          <w:p w:rsidR="001D1810" w:rsidRDefault="001D1810" w:rsidP="001D1810">
            <w:pPr>
              <w:pStyle w:val="Bullet1"/>
              <w:numPr>
                <w:ilvl w:val="0"/>
                <w:numId w:val="5"/>
              </w:numPr>
              <w:spacing w:after="60"/>
            </w:pPr>
            <w:r>
              <w:t xml:space="preserve">The nature of the supply chain e.g. containerised, reefers, trucks, break bulk, over dimensional.  </w:t>
            </w:r>
          </w:p>
          <w:p w:rsidR="001D1810" w:rsidRDefault="001D1810" w:rsidP="0057495B">
            <w:pPr>
              <w:pStyle w:val="Tables"/>
            </w:pPr>
            <w:r>
              <w:t xml:space="preserve">Where there exists a mix of all this variable freight the use of </w:t>
            </w:r>
            <w:r w:rsidR="00AF6026">
              <w:t>RORO</w:t>
            </w:r>
            <w:r>
              <w:t xml:space="preserve"> vessels is common irrespective of the length of the voyage. </w:t>
            </w:r>
            <w:r w:rsidR="00AF6026">
              <w:t>RORO</w:t>
            </w:r>
            <w:r>
              <w:t xml:space="preserve"> vessels are almost always used in the short sea trades in the North Sea, Baltic, Mediterranean and Japan as  they have the following advantages: </w:t>
            </w:r>
          </w:p>
          <w:p w:rsidR="001D1810" w:rsidRDefault="001D1810" w:rsidP="001D1810">
            <w:pPr>
              <w:pStyle w:val="Bullet1"/>
              <w:numPr>
                <w:ilvl w:val="0"/>
                <w:numId w:val="5"/>
              </w:numPr>
              <w:spacing w:after="60"/>
            </w:pPr>
            <w:r>
              <w:t xml:space="preserve">Fast loading and discharge. </w:t>
            </w:r>
          </w:p>
          <w:p w:rsidR="001D1810" w:rsidRDefault="001D1810" w:rsidP="001D1810">
            <w:pPr>
              <w:pStyle w:val="Bullet1"/>
              <w:numPr>
                <w:ilvl w:val="0"/>
                <w:numId w:val="5"/>
              </w:numPr>
              <w:spacing w:after="60"/>
            </w:pPr>
            <w:r>
              <w:t>Handling products/containers are reduced by using mafi trailers/or similar.</w:t>
            </w:r>
          </w:p>
          <w:p w:rsidR="001D1810" w:rsidRPr="000B2866" w:rsidRDefault="001D1810" w:rsidP="001D1810">
            <w:pPr>
              <w:pStyle w:val="Bullet1"/>
              <w:numPr>
                <w:ilvl w:val="0"/>
                <w:numId w:val="5"/>
              </w:numPr>
              <w:spacing w:after="60"/>
            </w:pPr>
            <w:r>
              <w:t xml:space="preserve">Immediate delivery to vessel /re-delivery to trucks by roll-off road trailers. </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Pr>
        <w:tc>
          <w:tcPr>
            <w:tcW w:w="1895" w:type="dxa"/>
            <w:shd w:val="clear" w:color="auto" w:fill="EFF0EF" w:themeFill="accent4"/>
          </w:tcPr>
          <w:p w:rsidR="001D1810" w:rsidRPr="00767A8D" w:rsidRDefault="001D1810" w:rsidP="0057495B">
            <w:pPr>
              <w:pStyle w:val="Tables"/>
              <w:rPr>
                <w:b/>
              </w:rPr>
            </w:pPr>
            <w:r w:rsidRPr="00767A8D">
              <w:rPr>
                <w:b/>
              </w:rPr>
              <w:t xml:space="preserve">Alternative </w:t>
            </w:r>
            <w:r w:rsidR="006C63E9">
              <w:rPr>
                <w:b/>
              </w:rPr>
              <w:t>V</w:t>
            </w:r>
            <w:r w:rsidRPr="00767A8D">
              <w:rPr>
                <w:b/>
              </w:rPr>
              <w:t>essels</w:t>
            </w:r>
          </w:p>
        </w:tc>
        <w:tc>
          <w:tcPr>
            <w:tcW w:w="7144" w:type="dxa"/>
            <w:shd w:val="clear" w:color="auto" w:fill="auto"/>
          </w:tcPr>
          <w:p w:rsidR="001D1810" w:rsidRDefault="001D1810" w:rsidP="00AF6026">
            <w:pPr>
              <w:pStyle w:val="Bullet1"/>
              <w:numPr>
                <w:ilvl w:val="0"/>
                <w:numId w:val="0"/>
              </w:numPr>
              <w:rPr>
                <w:rFonts w:eastAsiaTheme="majorEastAsia"/>
                <w:b/>
                <w:bCs/>
                <w:color w:val="7AB800" w:themeColor="accent1"/>
              </w:rPr>
            </w:pPr>
            <w:r>
              <w:t xml:space="preserve">Two service providers across Bass Strait that used conventional type vessels were unsuccessful. There were several factors that affected those operators but the fact that the vessels were not suited to the needs of the vast majority of freight interests was a major contributor to their demise. </w:t>
            </w:r>
          </w:p>
          <w:p w:rsidR="001D1810" w:rsidRDefault="001D1810" w:rsidP="00AF6026">
            <w:pPr>
              <w:pStyle w:val="Bullet1"/>
              <w:numPr>
                <w:ilvl w:val="0"/>
                <w:numId w:val="0"/>
              </w:numPr>
              <w:rPr>
                <w:rFonts w:eastAsiaTheme="majorEastAsia"/>
                <w:b/>
                <w:bCs/>
                <w:color w:val="7AB800" w:themeColor="accent1"/>
              </w:rPr>
            </w:pPr>
            <w:r>
              <w:t xml:space="preserve">The short sea trades also use conventional or container vessels. But they serve trades where the freight </w:t>
            </w:r>
            <w:r w:rsidR="00EB61EF">
              <w:t>is</w:t>
            </w:r>
            <w:r>
              <w:t xml:space="preserve"> not “time sensitive”. This freight is generally bulk freight or freight in containers that are not required to be “delivered to market” quickly. The size of vessel is determined by the volumes and the port facilities available. Here again the ratio of time in port to total time on the voyage is important. This type of vessel in the short sea trades is common all around northern Europe, around the UK, Japan and the Mediterranean.</w:t>
            </w:r>
          </w:p>
        </w:tc>
      </w:tr>
      <w:tr w:rsidR="001D1810" w:rsidRPr="00D75FE8" w:rsidTr="0057495B">
        <w:tc>
          <w:tcPr>
            <w:tcW w:w="1895" w:type="dxa"/>
            <w:shd w:val="clear" w:color="auto" w:fill="EFF0EF" w:themeFill="accent4"/>
          </w:tcPr>
          <w:p w:rsidR="001D1810" w:rsidRPr="00767A8D" w:rsidRDefault="001D1810" w:rsidP="0057495B">
            <w:pPr>
              <w:pStyle w:val="Tables"/>
              <w:rPr>
                <w:b/>
              </w:rPr>
            </w:pPr>
            <w:r w:rsidRPr="00767A8D">
              <w:rPr>
                <w:b/>
              </w:rPr>
              <w:t>Costs</w:t>
            </w:r>
          </w:p>
        </w:tc>
        <w:tc>
          <w:tcPr>
            <w:tcW w:w="7144" w:type="dxa"/>
            <w:shd w:val="clear" w:color="auto" w:fill="auto"/>
          </w:tcPr>
          <w:p w:rsidR="001D1810" w:rsidRDefault="001D1810" w:rsidP="00AF6026">
            <w:pPr>
              <w:pStyle w:val="Bullet1"/>
              <w:numPr>
                <w:ilvl w:val="0"/>
                <w:numId w:val="0"/>
              </w:numPr>
              <w:rPr>
                <w:rFonts w:eastAsiaTheme="majorEastAsia"/>
                <w:b/>
                <w:bCs/>
                <w:color w:val="7AB800" w:themeColor="accent1"/>
              </w:rPr>
            </w:pPr>
            <w:r>
              <w:t xml:space="preserve">A significant characteristic of shipping operations are the high capital costs particularly the cost of a vessel varies widely by size, type, carry capacity, speed and the methods of operation. </w:t>
            </w:r>
          </w:p>
          <w:p w:rsidR="001D1810" w:rsidRDefault="001D1810" w:rsidP="00AF6026">
            <w:pPr>
              <w:pStyle w:val="Bullet1"/>
              <w:numPr>
                <w:ilvl w:val="0"/>
                <w:numId w:val="0"/>
              </w:numPr>
              <w:rPr>
                <w:rFonts w:eastAsiaTheme="majorEastAsia"/>
                <w:b/>
                <w:bCs/>
                <w:color w:val="7AB800" w:themeColor="accent1"/>
              </w:rPr>
            </w:pPr>
            <w:r>
              <w:t xml:space="preserve">Operating costs of vessels are also largely fixed, including crewing, maintenance, registration, insurances etc. </w:t>
            </w:r>
          </w:p>
          <w:p w:rsidR="001D1810" w:rsidRDefault="001D1810" w:rsidP="00AF6026">
            <w:pPr>
              <w:pStyle w:val="Bullet1"/>
              <w:numPr>
                <w:ilvl w:val="0"/>
                <w:numId w:val="0"/>
              </w:numPr>
              <w:rPr>
                <w:rFonts w:eastAsiaTheme="majorEastAsia"/>
                <w:b/>
                <w:bCs/>
                <w:color w:val="7AB800" w:themeColor="accent1"/>
              </w:rPr>
            </w:pPr>
            <w:r>
              <w:t xml:space="preserve">The shipping industry is highly regulated with complex technical requirements, crew certification and compliances, similar to aviation. </w:t>
            </w:r>
          </w:p>
          <w:p w:rsidR="001D1810" w:rsidRDefault="001D1810" w:rsidP="00AF6026">
            <w:pPr>
              <w:pStyle w:val="Bullet1"/>
              <w:numPr>
                <w:ilvl w:val="0"/>
                <w:numId w:val="0"/>
              </w:numPr>
              <w:rPr>
                <w:rFonts w:eastAsiaTheme="majorEastAsia"/>
                <w:b/>
                <w:bCs/>
                <w:color w:val="7AB800" w:themeColor="accent1"/>
              </w:rPr>
            </w:pPr>
            <w:r>
              <w:t xml:space="preserve">A </w:t>
            </w:r>
            <w:r w:rsidR="00AF6026">
              <w:t>RORO</w:t>
            </w:r>
            <w:r>
              <w:t xml:space="preserve"> vessel costs more than a conventional vessel of the same capacity as they are more sophisticated in their construction and management. Larger vessels have higher capital costs, but smaller crewing and maintenance costs. Vessels on long international voyages will have a different breakdown due to the high amount of fuel consumed on the voyage and the short time in port.</w:t>
            </w:r>
          </w:p>
        </w:tc>
      </w:tr>
      <w:tr w:rsidR="001D1810" w:rsidRPr="00D75FE8" w:rsidTr="008B1A70">
        <w:trPr>
          <w:cnfStyle w:val="000000010000" w:firstRow="0" w:lastRow="0" w:firstColumn="0" w:lastColumn="0" w:oddVBand="0" w:evenVBand="0" w:oddHBand="0" w:evenHBand="1" w:firstRowFirstColumn="0" w:firstRowLastColumn="0" w:lastRowFirstColumn="0" w:lastRowLastColumn="0"/>
          <w:trHeight w:val="2706"/>
        </w:trPr>
        <w:tc>
          <w:tcPr>
            <w:tcW w:w="1895" w:type="dxa"/>
            <w:shd w:val="clear" w:color="auto" w:fill="EFF0EF" w:themeFill="accent4"/>
          </w:tcPr>
          <w:p w:rsidR="001D1810" w:rsidRPr="00767A8D" w:rsidRDefault="001D1810" w:rsidP="0057495B">
            <w:pPr>
              <w:pStyle w:val="Tables"/>
              <w:rPr>
                <w:b/>
              </w:rPr>
            </w:pPr>
            <w:r w:rsidRPr="00767A8D">
              <w:rPr>
                <w:b/>
              </w:rPr>
              <w:lastRenderedPageBreak/>
              <w:t xml:space="preserve">Economic </w:t>
            </w:r>
            <w:r w:rsidR="006C63E9">
              <w:rPr>
                <w:b/>
              </w:rPr>
              <w:t>R</w:t>
            </w:r>
            <w:r w:rsidRPr="00767A8D">
              <w:rPr>
                <w:b/>
              </w:rPr>
              <w:t>eturns</w:t>
            </w:r>
          </w:p>
        </w:tc>
        <w:tc>
          <w:tcPr>
            <w:tcW w:w="7144" w:type="dxa"/>
            <w:shd w:val="clear" w:color="auto" w:fill="auto"/>
          </w:tcPr>
          <w:p w:rsidR="001D1810" w:rsidRDefault="001D1810" w:rsidP="00AF6026">
            <w:pPr>
              <w:pStyle w:val="Bullet1"/>
              <w:numPr>
                <w:ilvl w:val="0"/>
                <w:numId w:val="0"/>
              </w:numPr>
              <w:rPr>
                <w:rFonts w:eastAsiaTheme="majorEastAsia"/>
                <w:b/>
                <w:bCs/>
                <w:color w:val="7AB800" w:themeColor="accent1"/>
              </w:rPr>
            </w:pPr>
            <w:r>
              <w:t>A vessel operator’s objective is to make a reasonable economic return on investment. This is achieved by maximising:</w:t>
            </w:r>
          </w:p>
          <w:p w:rsidR="001D1810" w:rsidRPr="00D873F5" w:rsidRDefault="001D1810" w:rsidP="001D1810">
            <w:pPr>
              <w:pStyle w:val="Bullet1"/>
              <w:numPr>
                <w:ilvl w:val="0"/>
                <w:numId w:val="5"/>
              </w:numPr>
              <w:spacing w:after="60"/>
            </w:pPr>
            <w:r>
              <w:t>T</w:t>
            </w:r>
            <w:r w:rsidRPr="00D873F5">
              <w:t>he use and utilisation of the vessel</w:t>
            </w:r>
            <w:r>
              <w:t>.</w:t>
            </w:r>
            <w:r w:rsidRPr="00D873F5">
              <w:t xml:space="preserve"> </w:t>
            </w:r>
          </w:p>
          <w:p w:rsidR="001D1810" w:rsidRDefault="001D1810" w:rsidP="001D1810">
            <w:pPr>
              <w:pStyle w:val="Bullet1"/>
              <w:numPr>
                <w:ilvl w:val="0"/>
                <w:numId w:val="5"/>
              </w:numPr>
              <w:spacing w:after="60"/>
              <w:rPr>
                <w:rFonts w:eastAsiaTheme="majorEastAsia"/>
                <w:bCs/>
                <w:color w:val="7AB800" w:themeColor="accent1"/>
              </w:rPr>
            </w:pPr>
            <w:r w:rsidRPr="00D873F5">
              <w:t>“</w:t>
            </w:r>
            <w:r>
              <w:t>E</w:t>
            </w:r>
            <w:r w:rsidRPr="00D873F5">
              <w:t xml:space="preserve">conomies of scale” by employing the largest size vessel the trade can support and ports can physically accept. Assuming the route has the sufficient demand, the larger the vessel, the more freight it will carry for the same fixed crewing and maintenance cost. However this is countered by the need for the vessel to remain in port longer to load and discharge. So the speed at which a vessel can load and discharge in port is intrinsically linked to profitably. </w:t>
            </w:r>
          </w:p>
        </w:tc>
      </w:tr>
      <w:tr w:rsidR="001D1810" w:rsidRPr="00D75FE8" w:rsidTr="0057495B">
        <w:tc>
          <w:tcPr>
            <w:tcW w:w="1895" w:type="dxa"/>
            <w:shd w:val="clear" w:color="auto" w:fill="EFF0EF" w:themeFill="accent4"/>
          </w:tcPr>
          <w:p w:rsidR="001D1810" w:rsidRPr="00767A8D" w:rsidRDefault="001D1810" w:rsidP="006C63E9">
            <w:pPr>
              <w:pStyle w:val="Tables"/>
              <w:rPr>
                <w:b/>
              </w:rPr>
            </w:pPr>
            <w:r w:rsidRPr="00767A8D">
              <w:rPr>
                <w:b/>
              </w:rPr>
              <w:t xml:space="preserve">Cost </w:t>
            </w:r>
            <w:r w:rsidR="006C63E9">
              <w:rPr>
                <w:b/>
              </w:rPr>
              <w:t>B</w:t>
            </w:r>
            <w:r w:rsidRPr="00767A8D">
              <w:rPr>
                <w:b/>
              </w:rPr>
              <w:t>reakdown</w:t>
            </w:r>
          </w:p>
        </w:tc>
        <w:tc>
          <w:tcPr>
            <w:tcW w:w="7144" w:type="dxa"/>
            <w:shd w:val="clear" w:color="auto" w:fill="auto"/>
          </w:tcPr>
          <w:p w:rsidR="001D1810" w:rsidRDefault="001D1810" w:rsidP="00AF6026">
            <w:pPr>
              <w:pStyle w:val="Bullet1"/>
              <w:numPr>
                <w:ilvl w:val="0"/>
                <w:numId w:val="0"/>
              </w:numPr>
              <w:rPr>
                <w:rFonts w:eastAsiaTheme="majorEastAsia"/>
                <w:b/>
                <w:bCs/>
                <w:color w:val="7AB800" w:themeColor="accent1"/>
              </w:rPr>
            </w:pPr>
            <w:r>
              <w:t>The cost of a voyage to vessel-owners, which forms the basis of their freight rate, indicates the largest component is the capital and financing cost of the vessel. Then crewing, maintenance and fuel costs (which are the largest variable cost). Our estimates of costs are as follows:</w:t>
            </w:r>
          </w:p>
          <w:p w:rsidR="001D1810" w:rsidRPr="00AF6026" w:rsidRDefault="001D1810" w:rsidP="00AF6026">
            <w:pPr>
              <w:pStyle w:val="Bullet1"/>
              <w:numPr>
                <w:ilvl w:val="0"/>
                <w:numId w:val="0"/>
              </w:numPr>
            </w:pPr>
            <w:r w:rsidRPr="00AF6026">
              <w:t xml:space="preserve">Fixed costs </w:t>
            </w:r>
          </w:p>
          <w:p w:rsidR="001D1810" w:rsidRDefault="001D1810" w:rsidP="00AF6026">
            <w:pPr>
              <w:pStyle w:val="Bullet1"/>
              <w:numPr>
                <w:ilvl w:val="0"/>
                <w:numId w:val="0"/>
              </w:numPr>
            </w:pPr>
            <w:r>
              <w:t xml:space="preserve">Capital and financing costs (interest etc.) </w:t>
            </w:r>
            <w:r>
              <w:tab/>
            </w:r>
            <w:r>
              <w:tab/>
              <w:t xml:space="preserve">35 ~45% </w:t>
            </w:r>
          </w:p>
          <w:p w:rsidR="001D1810" w:rsidRDefault="001D1810" w:rsidP="00AF6026">
            <w:pPr>
              <w:pStyle w:val="Bullet1"/>
              <w:numPr>
                <w:ilvl w:val="0"/>
                <w:numId w:val="0"/>
              </w:numPr>
            </w:pPr>
            <w:r>
              <w:t>Crewing, wages, Administration, on-costs etc.</w:t>
            </w:r>
            <w:r>
              <w:tab/>
            </w:r>
            <w:r>
              <w:tab/>
              <w:t xml:space="preserve">       15%</w:t>
            </w:r>
          </w:p>
          <w:p w:rsidR="001D1810" w:rsidRDefault="001D1810" w:rsidP="00AF6026">
            <w:pPr>
              <w:pStyle w:val="Bullet1"/>
              <w:numPr>
                <w:ilvl w:val="0"/>
                <w:numId w:val="0"/>
              </w:numPr>
            </w:pPr>
            <w:r>
              <w:t xml:space="preserve">Repairs, surveys, dry-docks and maintenance </w:t>
            </w:r>
            <w:r>
              <w:tab/>
            </w:r>
            <w:r>
              <w:tab/>
              <w:t xml:space="preserve">       15%</w:t>
            </w:r>
          </w:p>
          <w:p w:rsidR="001D1810" w:rsidRPr="00AF6026" w:rsidRDefault="001D1810" w:rsidP="00AF6026">
            <w:pPr>
              <w:pStyle w:val="Bullet1"/>
              <w:numPr>
                <w:ilvl w:val="0"/>
                <w:numId w:val="0"/>
              </w:numPr>
            </w:pPr>
            <w:r w:rsidRPr="00AF6026">
              <w:t xml:space="preserve">Variable </w:t>
            </w:r>
          </w:p>
          <w:p w:rsidR="001D1810" w:rsidRDefault="001D1810" w:rsidP="00AF6026">
            <w:pPr>
              <w:pStyle w:val="Bullet1"/>
              <w:numPr>
                <w:ilvl w:val="0"/>
                <w:numId w:val="0"/>
              </w:numPr>
            </w:pPr>
            <w:r>
              <w:t xml:space="preserve">Fuel costs for voyage </w:t>
            </w:r>
            <w:r>
              <w:tab/>
            </w:r>
            <w:r>
              <w:tab/>
            </w:r>
            <w:r>
              <w:tab/>
            </w:r>
            <w:r>
              <w:tab/>
            </w:r>
            <w:r>
              <w:tab/>
              <w:t xml:space="preserve">       30%</w:t>
            </w:r>
          </w:p>
          <w:p w:rsidR="001D1810" w:rsidRDefault="001D1810" w:rsidP="00AF6026">
            <w:pPr>
              <w:pStyle w:val="Bullet1"/>
              <w:numPr>
                <w:ilvl w:val="0"/>
                <w:numId w:val="0"/>
              </w:numPr>
            </w:pPr>
            <w:r>
              <w:t>Port costs – berthing, pilotage etc.</w:t>
            </w:r>
            <w:r>
              <w:tab/>
            </w:r>
            <w:r>
              <w:tab/>
            </w:r>
            <w:r>
              <w:tab/>
              <w:t xml:space="preserve">          5%</w:t>
            </w:r>
            <w:r>
              <w:tab/>
            </w:r>
            <w:r>
              <w:tab/>
            </w:r>
            <w:r>
              <w:tab/>
            </w:r>
            <w:r>
              <w:tab/>
            </w:r>
          </w:p>
          <w:p w:rsidR="001D1810" w:rsidRDefault="001D1810" w:rsidP="00910772">
            <w:pPr>
              <w:pStyle w:val="Bullet1"/>
              <w:keepNext/>
              <w:numPr>
                <w:ilvl w:val="0"/>
                <w:numId w:val="0"/>
              </w:numPr>
            </w:pPr>
            <w:r>
              <w:t xml:space="preserve">The above estimates are that </w:t>
            </w:r>
            <w:r w:rsidRPr="00E3251E">
              <w:rPr>
                <w:b/>
              </w:rPr>
              <w:t>65% are fixed</w:t>
            </w:r>
            <w:r>
              <w:t xml:space="preserve"> or exist regardless of activity and </w:t>
            </w:r>
            <w:r w:rsidRPr="00E3251E">
              <w:rPr>
                <w:b/>
              </w:rPr>
              <w:t>35% variable</w:t>
            </w:r>
            <w:r>
              <w:t xml:space="preserve"> or related to volume and activity.</w:t>
            </w:r>
          </w:p>
        </w:tc>
      </w:tr>
    </w:tbl>
    <w:p w:rsidR="001D1810" w:rsidRDefault="00910772" w:rsidP="00910772">
      <w:pPr>
        <w:pStyle w:val="Caption"/>
      </w:pPr>
      <w:bookmarkStart w:id="157" w:name="_Toc366769130"/>
      <w:r>
        <w:t xml:space="preserve">Table </w:t>
      </w:r>
      <w:r w:rsidR="00CA7023">
        <w:fldChar w:fldCharType="begin"/>
      </w:r>
      <w:r>
        <w:instrText xml:space="preserve"> SEQ Table \* ARABIC </w:instrText>
      </w:r>
      <w:r w:rsidR="00CA7023">
        <w:fldChar w:fldCharType="separate"/>
      </w:r>
      <w:r w:rsidR="00FF5EB2">
        <w:rPr>
          <w:noProof/>
        </w:rPr>
        <w:t>13</w:t>
      </w:r>
      <w:r w:rsidR="00CA7023">
        <w:fldChar w:fldCharType="end"/>
      </w:r>
      <w:r>
        <w:t xml:space="preserve">: </w:t>
      </w:r>
      <w:r w:rsidRPr="00640C17">
        <w:t>An Explanation of Shipping Economics and its Influence on Vessel Type</w:t>
      </w:r>
      <w:bookmarkEnd w:id="157"/>
    </w:p>
    <w:p w:rsidR="001D1810" w:rsidRDefault="001D1810" w:rsidP="001D1810">
      <w:pPr>
        <w:spacing w:after="200"/>
        <w:jc w:val="left"/>
        <w:rPr>
          <w:rFonts w:asciiTheme="majorHAnsi" w:eastAsiaTheme="majorEastAsia" w:hAnsiTheme="majorHAnsi" w:cstheme="majorHAnsi"/>
          <w:b/>
          <w:bCs/>
          <w:color w:val="353D30" w:themeColor="accent2"/>
          <w:sz w:val="24"/>
          <w:szCs w:val="22"/>
        </w:rPr>
      </w:pPr>
      <w:bookmarkStart w:id="158" w:name="_Toc357761429"/>
      <w:bookmarkStart w:id="159" w:name="_Toc358228803"/>
      <w:bookmarkStart w:id="160" w:name="_Toc358361300"/>
      <w:r>
        <w:br w:type="page"/>
      </w:r>
    </w:p>
    <w:p w:rsidR="001D1810" w:rsidRDefault="001D1810">
      <w:pPr>
        <w:pStyle w:val="Heading2"/>
      </w:pPr>
      <w:bookmarkStart w:id="161" w:name="_Toc364154091"/>
      <w:bookmarkStart w:id="162" w:name="_Toc367700237"/>
      <w:r>
        <w:lastRenderedPageBreak/>
        <w:t>A Comparison of Service Features of International Liner Services and Bass Strait Services</w:t>
      </w:r>
      <w:bookmarkEnd w:id="158"/>
      <w:bookmarkEnd w:id="159"/>
      <w:bookmarkEnd w:id="160"/>
      <w:bookmarkEnd w:id="161"/>
      <w:bookmarkEnd w:id="162"/>
    </w:p>
    <w:p w:rsidR="001D1810" w:rsidRDefault="00CA7023" w:rsidP="001D1810">
      <w:pPr>
        <w:ind w:right="-64"/>
        <w:jc w:val="left"/>
      </w:pPr>
      <w:r>
        <w:fldChar w:fldCharType="begin"/>
      </w:r>
      <w:r w:rsidR="00910772">
        <w:instrText xml:space="preserve"> REF _Ref366766430 \h </w:instrText>
      </w:r>
      <w:r>
        <w:fldChar w:fldCharType="separate"/>
      </w:r>
      <w:r w:rsidR="00FF5EB2">
        <w:t xml:space="preserve">Table </w:t>
      </w:r>
      <w:r w:rsidR="00FF5EB2">
        <w:rPr>
          <w:noProof/>
        </w:rPr>
        <w:t>14</w:t>
      </w:r>
      <w:r>
        <w:fldChar w:fldCharType="end"/>
      </w:r>
      <w:r w:rsidR="00910772">
        <w:t xml:space="preserve"> </w:t>
      </w:r>
      <w:r w:rsidR="001D1810">
        <w:t xml:space="preserve">compares the service features of </w:t>
      </w:r>
      <w:r w:rsidR="006C63E9">
        <w:t>I</w:t>
      </w:r>
      <w:r w:rsidR="001D1810">
        <w:t xml:space="preserve">nternational </w:t>
      </w:r>
      <w:r w:rsidR="006C63E9">
        <w:t>L</w:t>
      </w:r>
      <w:r w:rsidR="001D1810">
        <w:t xml:space="preserve">iner services (in the Australian trades) and Bass Strait </w:t>
      </w:r>
      <w:r w:rsidR="00AF6026">
        <w:t>RORO</w:t>
      </w:r>
      <w:r w:rsidR="001D1810">
        <w:t xml:space="preserve"> services. They are quite different and reinforce the rationale behind the choice of vessel for Bass Strait shipping. </w:t>
      </w:r>
      <w:bookmarkStart w:id="163" w:name="_Toc358297668"/>
      <w:r w:rsidR="001D1810">
        <w:t xml:space="preserve"> </w:t>
      </w:r>
      <w:bookmarkEnd w:id="163"/>
    </w:p>
    <w:tbl>
      <w:tblPr>
        <w:tblStyle w:val="TableGrid"/>
        <w:tblW w:w="93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02"/>
        <w:gridCol w:w="2976"/>
        <w:gridCol w:w="3544"/>
      </w:tblGrid>
      <w:tr w:rsidR="001D1810" w:rsidRPr="00BB3EE5" w:rsidTr="0057495B">
        <w:trPr>
          <w:tblHeader/>
        </w:trPr>
        <w:tc>
          <w:tcPr>
            <w:tcW w:w="2802" w:type="dxa"/>
            <w:shd w:val="clear" w:color="auto" w:fill="C4E58E" w:themeFill="accent5"/>
          </w:tcPr>
          <w:p w:rsidR="001D1810" w:rsidRDefault="001D1810" w:rsidP="00D75D2B">
            <w:pPr>
              <w:spacing w:beforeLines="60" w:before="144" w:afterLines="60" w:after="144"/>
              <w:jc w:val="center"/>
              <w:rPr>
                <w:rFonts w:ascii="Calibri" w:eastAsia="Times New Roman" w:hAnsi="Calibri" w:cs="Times New Roman"/>
                <w:b/>
                <w:color w:val="000000"/>
                <w:sz w:val="22"/>
                <w:szCs w:val="22"/>
                <w:lang w:eastAsia="en-GB"/>
              </w:rPr>
            </w:pPr>
            <w:r w:rsidRPr="00BB3EE5">
              <w:rPr>
                <w:rFonts w:ascii="Calibri" w:eastAsia="Times New Roman" w:hAnsi="Calibri" w:cs="Times New Roman"/>
                <w:b/>
                <w:color w:val="000000"/>
                <w:sz w:val="22"/>
                <w:szCs w:val="22"/>
                <w:lang w:eastAsia="en-GB"/>
              </w:rPr>
              <w:t>Service Feature</w:t>
            </w:r>
          </w:p>
        </w:tc>
        <w:tc>
          <w:tcPr>
            <w:tcW w:w="2976" w:type="dxa"/>
            <w:shd w:val="clear" w:color="auto" w:fill="C4E58E" w:themeFill="accent5"/>
          </w:tcPr>
          <w:p w:rsidR="003925FA" w:rsidRDefault="001D1810" w:rsidP="00D75D2B">
            <w:pPr>
              <w:spacing w:beforeLines="60" w:before="144" w:afterLines="60" w:after="144"/>
              <w:jc w:val="center"/>
              <w:rPr>
                <w:rFonts w:ascii="Calibri" w:eastAsia="Times New Roman" w:hAnsi="Calibri" w:cs="Times New Roman"/>
                <w:b/>
                <w:color w:val="000000"/>
                <w:sz w:val="22"/>
                <w:szCs w:val="22"/>
                <w:lang w:eastAsia="en-GB"/>
              </w:rPr>
            </w:pPr>
            <w:r>
              <w:rPr>
                <w:rFonts w:ascii="Calibri" w:eastAsia="Times New Roman" w:hAnsi="Calibri" w:cs="Times New Roman"/>
                <w:b/>
                <w:color w:val="000000"/>
                <w:sz w:val="22"/>
                <w:szCs w:val="22"/>
                <w:lang w:eastAsia="en-GB"/>
              </w:rPr>
              <w:t>International Liner</w:t>
            </w:r>
          </w:p>
        </w:tc>
        <w:tc>
          <w:tcPr>
            <w:tcW w:w="3544" w:type="dxa"/>
            <w:shd w:val="clear" w:color="auto" w:fill="C4E58E" w:themeFill="accent5"/>
          </w:tcPr>
          <w:p w:rsidR="003925FA" w:rsidRDefault="001D1810" w:rsidP="00D75D2B">
            <w:pPr>
              <w:spacing w:beforeLines="60" w:before="144" w:afterLines="60" w:after="144"/>
              <w:jc w:val="center"/>
              <w:rPr>
                <w:rFonts w:ascii="Calibri" w:eastAsia="Times New Roman" w:hAnsi="Calibri" w:cs="Times New Roman"/>
                <w:b/>
                <w:color w:val="000000"/>
                <w:sz w:val="22"/>
                <w:szCs w:val="22"/>
                <w:lang w:eastAsia="en-GB"/>
              </w:rPr>
            </w:pPr>
            <w:r w:rsidRPr="00BB3EE5">
              <w:rPr>
                <w:rFonts w:ascii="Calibri" w:eastAsia="Times New Roman" w:hAnsi="Calibri" w:cs="Times New Roman"/>
                <w:b/>
                <w:color w:val="000000"/>
                <w:sz w:val="22"/>
                <w:szCs w:val="22"/>
                <w:lang w:eastAsia="en-GB"/>
              </w:rPr>
              <w:t xml:space="preserve">Bass Strait </w:t>
            </w:r>
            <w:r w:rsidR="00AF6026">
              <w:rPr>
                <w:rFonts w:ascii="Calibri" w:eastAsia="Times New Roman" w:hAnsi="Calibri" w:cs="Times New Roman"/>
                <w:b/>
                <w:color w:val="000000"/>
                <w:sz w:val="22"/>
                <w:szCs w:val="22"/>
                <w:lang w:eastAsia="en-GB"/>
              </w:rPr>
              <w:t>RORO</w:t>
            </w:r>
            <w:r w:rsidRPr="00BB3EE5">
              <w:rPr>
                <w:rFonts w:ascii="Calibri" w:eastAsia="Times New Roman" w:hAnsi="Calibri" w:cs="Times New Roman"/>
                <w:b/>
                <w:color w:val="000000"/>
                <w:sz w:val="22"/>
                <w:szCs w:val="22"/>
                <w:lang w:eastAsia="en-GB"/>
              </w:rPr>
              <w:t xml:space="preserve"> </w:t>
            </w:r>
            <w:r>
              <w:rPr>
                <w:rFonts w:ascii="Calibri" w:eastAsia="Times New Roman" w:hAnsi="Calibri" w:cs="Times New Roman"/>
                <w:b/>
                <w:color w:val="000000"/>
                <w:sz w:val="22"/>
                <w:szCs w:val="22"/>
                <w:lang w:eastAsia="en-GB"/>
              </w:rPr>
              <w:t>Services</w:t>
            </w:r>
          </w:p>
        </w:tc>
      </w:tr>
      <w:tr w:rsidR="001D1810" w:rsidRPr="00BB3EE5" w:rsidTr="0057495B">
        <w:tc>
          <w:tcPr>
            <w:tcW w:w="2802" w:type="dxa"/>
            <w:tcBorders>
              <w:bottom w:val="single" w:sz="4" w:space="0" w:color="A6A6A6" w:themeColor="background1" w:themeShade="A6"/>
            </w:tcBorders>
          </w:tcPr>
          <w:p w:rsidR="003925FA" w:rsidRDefault="001D1810" w:rsidP="00D75D2B">
            <w:pPr>
              <w:spacing w:beforeLines="60" w:before="144" w:afterLines="60" w:after="144"/>
              <w:jc w:val="center"/>
              <w:rPr>
                <w:rFonts w:ascii="Calibri" w:eastAsia="Times New Roman" w:hAnsi="Calibri" w:cs="Times New Roman"/>
                <w:color w:val="000000"/>
                <w:sz w:val="22"/>
                <w:szCs w:val="22"/>
                <w:lang w:eastAsia="en-GB"/>
              </w:rPr>
            </w:pPr>
            <w:r w:rsidRPr="00BB3EE5">
              <w:rPr>
                <w:rFonts w:ascii="Calibri" w:eastAsia="Times New Roman" w:hAnsi="Calibri" w:cs="Times New Roman"/>
                <w:color w:val="000000"/>
                <w:sz w:val="22"/>
                <w:szCs w:val="22"/>
                <w:lang w:eastAsia="en-GB"/>
              </w:rPr>
              <w:t xml:space="preserve">Volumes carried on </w:t>
            </w:r>
            <w:r>
              <w:rPr>
                <w:rFonts w:ascii="Calibri" w:eastAsia="Times New Roman" w:hAnsi="Calibri" w:cs="Times New Roman"/>
                <w:color w:val="000000"/>
                <w:sz w:val="22"/>
                <w:szCs w:val="22"/>
                <w:lang w:eastAsia="en-GB"/>
              </w:rPr>
              <w:t>vessel</w:t>
            </w:r>
          </w:p>
        </w:tc>
        <w:tc>
          <w:tcPr>
            <w:tcW w:w="2976" w:type="dxa"/>
            <w:tcBorders>
              <w:bottom w:val="single" w:sz="4" w:space="0" w:color="A6A6A6" w:themeColor="background1" w:themeShade="A6"/>
            </w:tcBorders>
          </w:tcPr>
          <w:p w:rsidR="003925FA" w:rsidRDefault="001D1810" w:rsidP="00D75D2B">
            <w:pPr>
              <w:spacing w:beforeLines="60" w:before="144" w:afterLines="60" w:after="144"/>
              <w:jc w:val="center"/>
              <w:rPr>
                <w:rFonts w:ascii="Calibri" w:eastAsia="Times New Roman" w:hAnsi="Calibri" w:cs="Times New Roman"/>
                <w:b/>
                <w:bCs/>
                <w:color w:val="000000"/>
                <w:sz w:val="22"/>
                <w:szCs w:val="22"/>
                <w:lang w:eastAsia="en-GB"/>
              </w:rPr>
            </w:pPr>
            <w:r w:rsidRPr="00BB3EE5">
              <w:rPr>
                <w:rFonts w:ascii="Calibri" w:eastAsia="Times New Roman" w:hAnsi="Calibri" w:cs="Times New Roman"/>
                <w:color w:val="000000"/>
                <w:sz w:val="22"/>
                <w:szCs w:val="22"/>
                <w:lang w:eastAsia="en-GB"/>
              </w:rPr>
              <w:t xml:space="preserve">2,000 to 4,000 </w:t>
            </w:r>
            <w:r>
              <w:rPr>
                <w:rFonts w:ascii="Calibri" w:eastAsia="Times New Roman" w:hAnsi="Calibri" w:cs="Times New Roman"/>
                <w:color w:val="000000"/>
                <w:sz w:val="22"/>
                <w:szCs w:val="22"/>
                <w:lang w:eastAsia="en-GB"/>
              </w:rPr>
              <w:t>TEU</w:t>
            </w:r>
          </w:p>
        </w:tc>
        <w:tc>
          <w:tcPr>
            <w:tcW w:w="3544" w:type="dxa"/>
            <w:tcBorders>
              <w:bottom w:val="single" w:sz="4" w:space="0" w:color="A6A6A6" w:themeColor="background1" w:themeShade="A6"/>
            </w:tcBorders>
          </w:tcPr>
          <w:p w:rsidR="003925FA" w:rsidRDefault="001D1810" w:rsidP="00D75D2B">
            <w:pPr>
              <w:spacing w:beforeLines="60" w:before="144" w:afterLines="60" w:after="144"/>
              <w:jc w:val="center"/>
              <w:rPr>
                <w:rFonts w:ascii="Calibri" w:eastAsia="Times New Roman" w:hAnsi="Calibri" w:cs="Times New Roman"/>
                <w:b/>
                <w:bCs/>
                <w:color w:val="000000"/>
                <w:sz w:val="22"/>
                <w:szCs w:val="22"/>
                <w:lang w:eastAsia="en-GB"/>
              </w:rPr>
            </w:pPr>
            <w:r w:rsidRPr="00BB3EE5">
              <w:rPr>
                <w:rFonts w:ascii="Calibri" w:eastAsia="Times New Roman" w:hAnsi="Calibri" w:cs="Times New Roman"/>
                <w:color w:val="000000"/>
                <w:sz w:val="22"/>
                <w:szCs w:val="22"/>
                <w:lang w:eastAsia="en-GB"/>
              </w:rPr>
              <w:t>200</w:t>
            </w:r>
            <w:r>
              <w:rPr>
                <w:rFonts w:ascii="Calibri" w:eastAsia="Times New Roman" w:hAnsi="Calibri" w:cs="Times New Roman"/>
                <w:color w:val="000000"/>
                <w:sz w:val="22"/>
                <w:szCs w:val="22"/>
                <w:lang w:eastAsia="en-GB"/>
              </w:rPr>
              <w:t>-500</w:t>
            </w:r>
            <w:r w:rsidRPr="00BB3EE5">
              <w:rPr>
                <w:rFonts w:ascii="Calibri" w:eastAsia="Times New Roman" w:hAnsi="Calibri" w:cs="Times New Roman"/>
                <w:color w:val="000000"/>
                <w:sz w:val="22"/>
                <w:szCs w:val="22"/>
                <w:lang w:eastAsia="en-GB"/>
              </w:rPr>
              <w:t xml:space="preserve"> </w:t>
            </w:r>
            <w:r>
              <w:rPr>
                <w:rFonts w:ascii="Calibri" w:eastAsia="Times New Roman" w:hAnsi="Calibri" w:cs="Times New Roman"/>
                <w:color w:val="000000"/>
                <w:sz w:val="22"/>
                <w:szCs w:val="22"/>
                <w:lang w:eastAsia="en-GB"/>
              </w:rPr>
              <w:t>TEU</w:t>
            </w:r>
            <w:r w:rsidRPr="00BB3EE5">
              <w:rPr>
                <w:rFonts w:ascii="Calibri" w:eastAsia="Times New Roman" w:hAnsi="Calibri" w:cs="Times New Roman"/>
                <w:color w:val="000000"/>
                <w:sz w:val="22"/>
                <w:szCs w:val="22"/>
                <w:lang w:eastAsia="en-GB"/>
              </w:rPr>
              <w:t xml:space="preserve"> </w:t>
            </w:r>
          </w:p>
        </w:tc>
      </w:tr>
      <w:tr w:rsidR="001D1810" w:rsidRPr="00BB3EE5" w:rsidTr="0057495B">
        <w:tc>
          <w:tcPr>
            <w:tcW w:w="2802" w:type="dxa"/>
            <w:shd w:val="clear" w:color="auto" w:fill="E7F4D1" w:themeFill="accent5" w:themeFillTint="66"/>
          </w:tcPr>
          <w:p w:rsidR="003925FA" w:rsidRDefault="001D1810" w:rsidP="00D75D2B">
            <w:pPr>
              <w:spacing w:beforeLines="60" w:before="144" w:afterLines="60" w:after="144"/>
              <w:jc w:val="center"/>
              <w:rPr>
                <w:rFonts w:ascii="Calibri" w:eastAsia="Times New Roman" w:hAnsi="Calibri" w:cs="Times New Roman"/>
                <w:b/>
                <w:bCs/>
                <w:color w:val="000000"/>
                <w:sz w:val="22"/>
                <w:szCs w:val="22"/>
                <w:lang w:eastAsia="en-GB"/>
              </w:rPr>
            </w:pPr>
            <w:r w:rsidRPr="00BB3EE5">
              <w:rPr>
                <w:rFonts w:ascii="Calibri" w:eastAsia="Times New Roman" w:hAnsi="Calibri" w:cs="Times New Roman"/>
                <w:color w:val="000000"/>
                <w:sz w:val="22"/>
                <w:szCs w:val="22"/>
                <w:lang w:eastAsia="en-GB"/>
              </w:rPr>
              <w:t xml:space="preserve">Uniformity of </w:t>
            </w:r>
            <w:r>
              <w:rPr>
                <w:rFonts w:ascii="Calibri" w:eastAsia="Times New Roman" w:hAnsi="Calibri" w:cs="Times New Roman"/>
                <w:color w:val="000000"/>
                <w:sz w:val="22"/>
                <w:szCs w:val="22"/>
                <w:lang w:eastAsia="en-GB"/>
              </w:rPr>
              <w:t>freight</w:t>
            </w:r>
            <w:r w:rsidRPr="00BB3EE5">
              <w:rPr>
                <w:rFonts w:ascii="Calibri" w:eastAsia="Times New Roman" w:hAnsi="Calibri" w:cs="Times New Roman"/>
                <w:color w:val="000000"/>
                <w:sz w:val="22"/>
                <w:szCs w:val="22"/>
                <w:lang w:eastAsia="en-GB"/>
              </w:rPr>
              <w:t xml:space="preserve"> presentation </w:t>
            </w:r>
          </w:p>
        </w:tc>
        <w:tc>
          <w:tcPr>
            <w:tcW w:w="2976" w:type="dxa"/>
            <w:shd w:val="clear" w:color="auto" w:fill="E7F4D1" w:themeFill="accent5" w:themeFillTint="66"/>
          </w:tcPr>
          <w:p w:rsidR="003925FA" w:rsidRDefault="001D1810" w:rsidP="00D75D2B">
            <w:pPr>
              <w:spacing w:beforeLines="60" w:before="144" w:afterLines="60" w:after="144"/>
              <w:jc w:val="center"/>
              <w:rPr>
                <w:rFonts w:ascii="Calibri" w:eastAsia="Times New Roman" w:hAnsi="Calibri" w:cs="Times New Roman"/>
                <w:b/>
                <w:bCs/>
                <w:color w:val="000000"/>
                <w:sz w:val="22"/>
                <w:szCs w:val="22"/>
                <w:lang w:eastAsia="en-GB"/>
              </w:rPr>
            </w:pPr>
            <w:r>
              <w:rPr>
                <w:rFonts w:ascii="Calibri" w:eastAsia="Times New Roman" w:hAnsi="Calibri" w:cs="Times New Roman"/>
                <w:color w:val="000000"/>
                <w:sz w:val="22"/>
                <w:szCs w:val="22"/>
                <w:lang w:eastAsia="en-GB"/>
              </w:rPr>
              <w:t xml:space="preserve">Containers only. </w:t>
            </w:r>
            <w:r w:rsidRPr="00BB3EE5">
              <w:rPr>
                <w:rFonts w:ascii="Calibri" w:eastAsia="Times New Roman" w:hAnsi="Calibri" w:cs="Times New Roman"/>
                <w:color w:val="000000"/>
                <w:sz w:val="22"/>
                <w:szCs w:val="22"/>
                <w:lang w:eastAsia="en-GB"/>
              </w:rPr>
              <w:t xml:space="preserve">20ft </w:t>
            </w:r>
            <w:r>
              <w:rPr>
                <w:rFonts w:ascii="Calibri" w:eastAsia="Times New Roman" w:hAnsi="Calibri" w:cs="Times New Roman"/>
                <w:color w:val="000000"/>
                <w:sz w:val="22"/>
                <w:szCs w:val="22"/>
                <w:lang w:eastAsia="en-GB"/>
              </w:rPr>
              <w:t>and</w:t>
            </w:r>
            <w:r w:rsidRPr="00BB3EE5">
              <w:rPr>
                <w:rFonts w:ascii="Calibri" w:eastAsia="Times New Roman" w:hAnsi="Calibri" w:cs="Times New Roman"/>
                <w:color w:val="000000"/>
                <w:sz w:val="22"/>
                <w:szCs w:val="22"/>
                <w:lang w:eastAsia="en-GB"/>
              </w:rPr>
              <w:t xml:space="preserve"> 40 </w:t>
            </w:r>
            <w:r>
              <w:rPr>
                <w:rFonts w:ascii="Calibri" w:eastAsia="Times New Roman" w:hAnsi="Calibri" w:cs="Times New Roman"/>
                <w:color w:val="000000"/>
                <w:sz w:val="22"/>
                <w:szCs w:val="22"/>
                <w:lang w:eastAsia="en-GB"/>
              </w:rPr>
              <w:t>t</w:t>
            </w:r>
            <w:r w:rsidRPr="00BB3EE5">
              <w:rPr>
                <w:rFonts w:ascii="Calibri" w:eastAsia="Times New Roman" w:hAnsi="Calibri" w:cs="Times New Roman"/>
                <w:color w:val="000000"/>
                <w:sz w:val="22"/>
                <w:szCs w:val="22"/>
                <w:lang w:eastAsia="en-GB"/>
              </w:rPr>
              <w:t xml:space="preserve">t containers; a few </w:t>
            </w:r>
            <w:r>
              <w:rPr>
                <w:rFonts w:ascii="Calibri" w:eastAsia="Times New Roman" w:hAnsi="Calibri" w:cs="Times New Roman"/>
                <w:color w:val="000000"/>
                <w:sz w:val="22"/>
                <w:szCs w:val="22"/>
                <w:lang w:eastAsia="en-GB"/>
              </w:rPr>
              <w:t>f</w:t>
            </w:r>
            <w:r w:rsidRPr="00BB3EE5">
              <w:rPr>
                <w:rFonts w:ascii="Calibri" w:eastAsia="Times New Roman" w:hAnsi="Calibri" w:cs="Times New Roman"/>
                <w:color w:val="000000"/>
                <w:sz w:val="22"/>
                <w:szCs w:val="22"/>
                <w:lang w:eastAsia="en-GB"/>
              </w:rPr>
              <w:t>lat racks etc.</w:t>
            </w:r>
          </w:p>
        </w:tc>
        <w:tc>
          <w:tcPr>
            <w:tcW w:w="3544" w:type="dxa"/>
            <w:shd w:val="clear" w:color="auto" w:fill="E7F4D1" w:themeFill="accent5" w:themeFillTint="66"/>
          </w:tcPr>
          <w:p w:rsidR="003925FA" w:rsidRDefault="001D1810" w:rsidP="00D75D2B">
            <w:pPr>
              <w:spacing w:beforeLines="60" w:before="144" w:afterLines="60" w:after="144"/>
              <w:jc w:val="center"/>
              <w:rPr>
                <w:rFonts w:ascii="Calibri" w:eastAsia="Times New Roman" w:hAnsi="Calibri" w:cs="Times New Roman"/>
                <w:b/>
                <w:bCs/>
                <w:color w:val="000000"/>
                <w:sz w:val="22"/>
                <w:szCs w:val="22"/>
                <w:lang w:eastAsia="en-GB"/>
              </w:rPr>
            </w:pPr>
            <w:r>
              <w:rPr>
                <w:rFonts w:ascii="Calibri" w:eastAsia="Times New Roman" w:hAnsi="Calibri" w:cs="Times New Roman"/>
                <w:color w:val="000000"/>
                <w:sz w:val="22"/>
                <w:szCs w:val="22"/>
                <w:lang w:eastAsia="en-GB"/>
              </w:rPr>
              <w:t xml:space="preserve">Mixed freight. </w:t>
            </w:r>
            <w:r w:rsidRPr="00BB3EE5">
              <w:rPr>
                <w:rFonts w:ascii="Calibri" w:eastAsia="Times New Roman" w:hAnsi="Calibri" w:cs="Times New Roman"/>
                <w:color w:val="000000"/>
                <w:sz w:val="22"/>
                <w:szCs w:val="22"/>
                <w:lang w:eastAsia="en-GB"/>
              </w:rPr>
              <w:t>20ft</w:t>
            </w:r>
            <w:r>
              <w:rPr>
                <w:rFonts w:ascii="Calibri" w:eastAsia="Times New Roman" w:hAnsi="Calibri" w:cs="Times New Roman"/>
                <w:color w:val="000000"/>
                <w:sz w:val="22"/>
                <w:szCs w:val="22"/>
                <w:lang w:eastAsia="en-GB"/>
              </w:rPr>
              <w:t xml:space="preserve"> and </w:t>
            </w:r>
            <w:r w:rsidRPr="00BB3EE5">
              <w:rPr>
                <w:rFonts w:ascii="Calibri" w:eastAsia="Times New Roman" w:hAnsi="Calibri" w:cs="Times New Roman"/>
                <w:color w:val="000000"/>
                <w:sz w:val="22"/>
                <w:szCs w:val="22"/>
                <w:lang w:eastAsia="en-GB"/>
              </w:rPr>
              <w:t xml:space="preserve"> 40ft </w:t>
            </w:r>
            <w:r>
              <w:rPr>
                <w:rFonts w:ascii="Calibri" w:eastAsia="Times New Roman" w:hAnsi="Calibri" w:cs="Times New Roman"/>
                <w:color w:val="000000"/>
                <w:sz w:val="22"/>
                <w:szCs w:val="22"/>
                <w:lang w:eastAsia="en-GB"/>
              </w:rPr>
              <w:t>c</w:t>
            </w:r>
            <w:r w:rsidRPr="00BB3EE5">
              <w:rPr>
                <w:rFonts w:ascii="Calibri" w:eastAsia="Times New Roman" w:hAnsi="Calibri" w:cs="Times New Roman"/>
                <w:color w:val="000000"/>
                <w:sz w:val="22"/>
                <w:szCs w:val="22"/>
                <w:lang w:eastAsia="en-GB"/>
              </w:rPr>
              <w:t>ontainers, road trailers, cars, caravans, break-bulk</w:t>
            </w:r>
          </w:p>
        </w:tc>
      </w:tr>
      <w:tr w:rsidR="001D1810" w:rsidRPr="00BB3EE5" w:rsidTr="0057495B">
        <w:tc>
          <w:tcPr>
            <w:tcW w:w="2802" w:type="dxa"/>
            <w:tcBorders>
              <w:bottom w:val="single" w:sz="4" w:space="0" w:color="A6A6A6" w:themeColor="background1" w:themeShade="A6"/>
            </w:tcBorders>
          </w:tcPr>
          <w:p w:rsidR="003925FA" w:rsidRDefault="001D1810" w:rsidP="00D75D2B">
            <w:pPr>
              <w:spacing w:beforeLines="60" w:before="144" w:afterLines="60" w:after="144"/>
              <w:jc w:val="center"/>
              <w:rPr>
                <w:rFonts w:ascii="Calibri" w:eastAsia="Times New Roman" w:hAnsi="Calibri" w:cs="Times New Roman"/>
                <w:b/>
                <w:bCs/>
                <w:color w:val="000000"/>
                <w:sz w:val="22"/>
                <w:szCs w:val="22"/>
                <w:lang w:eastAsia="en-GB"/>
              </w:rPr>
            </w:pPr>
            <w:r w:rsidRPr="00BB3EE5">
              <w:rPr>
                <w:rFonts w:ascii="Calibri" w:eastAsia="Times New Roman" w:hAnsi="Calibri" w:cs="Times New Roman"/>
                <w:color w:val="000000"/>
                <w:sz w:val="22"/>
                <w:szCs w:val="22"/>
                <w:lang w:eastAsia="en-GB"/>
              </w:rPr>
              <w:t xml:space="preserve">Delivery windows </w:t>
            </w:r>
          </w:p>
        </w:tc>
        <w:tc>
          <w:tcPr>
            <w:tcW w:w="2976" w:type="dxa"/>
            <w:tcBorders>
              <w:bottom w:val="single" w:sz="4" w:space="0" w:color="A6A6A6" w:themeColor="background1" w:themeShade="A6"/>
            </w:tcBorders>
          </w:tcPr>
          <w:p w:rsidR="003925FA" w:rsidRDefault="001D1810" w:rsidP="00D75D2B">
            <w:pPr>
              <w:spacing w:beforeLines="60" w:before="144" w:afterLines="60" w:after="144"/>
              <w:jc w:val="center"/>
              <w:rPr>
                <w:rFonts w:ascii="Calibri" w:eastAsia="Times New Roman" w:hAnsi="Calibri" w:cs="Times New Roman"/>
                <w:b/>
                <w:bCs/>
                <w:color w:val="000000"/>
                <w:sz w:val="22"/>
                <w:szCs w:val="22"/>
                <w:lang w:eastAsia="en-GB"/>
              </w:rPr>
            </w:pPr>
            <w:r w:rsidRPr="00BB3EE5">
              <w:rPr>
                <w:rFonts w:ascii="Calibri" w:eastAsia="Times New Roman" w:hAnsi="Calibri" w:cs="Times New Roman"/>
                <w:color w:val="000000"/>
                <w:sz w:val="22"/>
                <w:szCs w:val="22"/>
                <w:lang w:eastAsia="en-GB"/>
              </w:rPr>
              <w:t>Strict limits – 3 days</w:t>
            </w:r>
          </w:p>
        </w:tc>
        <w:tc>
          <w:tcPr>
            <w:tcW w:w="3544" w:type="dxa"/>
            <w:tcBorders>
              <w:bottom w:val="single" w:sz="4" w:space="0" w:color="A6A6A6" w:themeColor="background1" w:themeShade="A6"/>
            </w:tcBorders>
          </w:tcPr>
          <w:p w:rsidR="003925FA" w:rsidRDefault="001D1810" w:rsidP="00D75D2B">
            <w:pPr>
              <w:spacing w:beforeLines="60" w:before="144" w:afterLines="60" w:after="144"/>
              <w:jc w:val="center"/>
              <w:rPr>
                <w:rFonts w:ascii="Calibri" w:eastAsia="Times New Roman" w:hAnsi="Calibri" w:cs="Times New Roman"/>
                <w:b/>
                <w:bCs/>
                <w:color w:val="000000"/>
                <w:sz w:val="22"/>
                <w:szCs w:val="22"/>
                <w:lang w:eastAsia="en-GB"/>
              </w:rPr>
            </w:pPr>
            <w:r w:rsidRPr="00BB3EE5">
              <w:rPr>
                <w:rFonts w:ascii="Calibri" w:eastAsia="Times New Roman" w:hAnsi="Calibri" w:cs="Times New Roman"/>
                <w:color w:val="000000"/>
                <w:sz w:val="22"/>
                <w:szCs w:val="22"/>
                <w:lang w:eastAsia="en-GB"/>
              </w:rPr>
              <w:t>Flexible up to 1 hr prior departure</w:t>
            </w:r>
          </w:p>
        </w:tc>
      </w:tr>
      <w:tr w:rsidR="001D1810" w:rsidRPr="00BB3EE5" w:rsidTr="0057495B">
        <w:tc>
          <w:tcPr>
            <w:tcW w:w="2802" w:type="dxa"/>
            <w:shd w:val="clear" w:color="auto" w:fill="E7F4D1" w:themeFill="accent5" w:themeFillTint="66"/>
          </w:tcPr>
          <w:p w:rsidR="003925FA" w:rsidRDefault="001D1810" w:rsidP="00D75D2B">
            <w:pPr>
              <w:spacing w:beforeLines="60" w:before="144" w:afterLines="60" w:after="144"/>
              <w:jc w:val="center"/>
              <w:rPr>
                <w:rFonts w:ascii="Calibri" w:eastAsia="Times New Roman" w:hAnsi="Calibri" w:cs="Times New Roman"/>
                <w:b/>
                <w:bCs/>
                <w:color w:val="000000"/>
                <w:sz w:val="22"/>
                <w:szCs w:val="22"/>
                <w:lang w:eastAsia="en-GB"/>
              </w:rPr>
            </w:pPr>
            <w:r w:rsidRPr="00BB3EE5">
              <w:rPr>
                <w:rFonts w:ascii="Calibri" w:eastAsia="Times New Roman" w:hAnsi="Calibri" w:cs="Times New Roman"/>
                <w:color w:val="000000"/>
                <w:sz w:val="22"/>
                <w:szCs w:val="22"/>
                <w:lang w:eastAsia="en-GB"/>
              </w:rPr>
              <w:t>Service frequency</w:t>
            </w:r>
          </w:p>
        </w:tc>
        <w:tc>
          <w:tcPr>
            <w:tcW w:w="2976" w:type="dxa"/>
            <w:shd w:val="clear" w:color="auto" w:fill="E7F4D1" w:themeFill="accent5" w:themeFillTint="66"/>
          </w:tcPr>
          <w:p w:rsidR="003925FA" w:rsidRDefault="001D1810" w:rsidP="00D75D2B">
            <w:pPr>
              <w:spacing w:beforeLines="60" w:before="144" w:afterLines="60" w:after="144"/>
              <w:jc w:val="center"/>
              <w:rPr>
                <w:rFonts w:ascii="Calibri" w:eastAsia="Times New Roman" w:hAnsi="Calibri" w:cs="Times New Roman"/>
                <w:b/>
                <w:bCs/>
                <w:color w:val="000000"/>
                <w:sz w:val="22"/>
                <w:szCs w:val="22"/>
                <w:lang w:eastAsia="en-GB"/>
              </w:rPr>
            </w:pPr>
            <w:r w:rsidRPr="00BB3EE5">
              <w:rPr>
                <w:rFonts w:ascii="Calibri" w:eastAsia="Times New Roman" w:hAnsi="Calibri" w:cs="Times New Roman"/>
                <w:color w:val="000000"/>
                <w:sz w:val="22"/>
                <w:szCs w:val="22"/>
                <w:lang w:eastAsia="en-GB"/>
              </w:rPr>
              <w:t>At best weekly from Tasmania</w:t>
            </w:r>
          </w:p>
        </w:tc>
        <w:tc>
          <w:tcPr>
            <w:tcW w:w="3544" w:type="dxa"/>
            <w:shd w:val="clear" w:color="auto" w:fill="E7F4D1" w:themeFill="accent5" w:themeFillTint="66"/>
          </w:tcPr>
          <w:p w:rsidR="003925FA" w:rsidRDefault="001D1810" w:rsidP="00D75D2B">
            <w:pPr>
              <w:keepNext/>
              <w:spacing w:beforeLines="60" w:before="144" w:afterLines="60" w:after="144"/>
              <w:jc w:val="center"/>
              <w:rPr>
                <w:rFonts w:ascii="Calibri" w:eastAsia="Times New Roman" w:hAnsi="Calibri" w:cs="Times New Roman"/>
                <w:b/>
                <w:bCs/>
                <w:color w:val="000000"/>
                <w:sz w:val="22"/>
                <w:szCs w:val="22"/>
                <w:lang w:eastAsia="en-GB"/>
              </w:rPr>
            </w:pPr>
            <w:r w:rsidRPr="00BB3EE5">
              <w:rPr>
                <w:rFonts w:ascii="Calibri" w:eastAsia="Times New Roman" w:hAnsi="Calibri" w:cs="Times New Roman"/>
                <w:color w:val="000000"/>
                <w:sz w:val="22"/>
                <w:szCs w:val="22"/>
                <w:lang w:eastAsia="en-GB"/>
              </w:rPr>
              <w:t>Daily and overnight</w:t>
            </w:r>
          </w:p>
        </w:tc>
      </w:tr>
    </w:tbl>
    <w:p w:rsidR="00910772" w:rsidRDefault="00910772">
      <w:pPr>
        <w:pStyle w:val="Caption"/>
      </w:pPr>
      <w:bookmarkStart w:id="164" w:name="_Ref366766430"/>
      <w:bookmarkStart w:id="165" w:name="_Toc366769131"/>
      <w:bookmarkStart w:id="166" w:name="_Ref358720558"/>
      <w:r>
        <w:t xml:space="preserve">Table </w:t>
      </w:r>
      <w:r w:rsidR="00CA7023">
        <w:fldChar w:fldCharType="begin"/>
      </w:r>
      <w:r>
        <w:instrText xml:space="preserve"> SEQ Table \* ARABIC </w:instrText>
      </w:r>
      <w:r w:rsidR="00CA7023">
        <w:fldChar w:fldCharType="separate"/>
      </w:r>
      <w:r w:rsidR="00FF5EB2">
        <w:rPr>
          <w:noProof/>
        </w:rPr>
        <w:t>14</w:t>
      </w:r>
      <w:r w:rsidR="00CA7023">
        <w:fldChar w:fldCharType="end"/>
      </w:r>
      <w:bookmarkEnd w:id="164"/>
      <w:r>
        <w:t xml:space="preserve">: </w:t>
      </w:r>
      <w:r w:rsidRPr="00C42A81">
        <w:t>International Liner and Bass Strait Service Features</w:t>
      </w:r>
      <w:bookmarkEnd w:id="165"/>
    </w:p>
    <w:p w:rsidR="001D1810" w:rsidRDefault="001D1810" w:rsidP="008B6FC3">
      <w:pPr>
        <w:pStyle w:val="Heading2"/>
      </w:pPr>
      <w:bookmarkStart w:id="167" w:name="_Toc356482469"/>
      <w:bookmarkStart w:id="168" w:name="_Toc356483107"/>
      <w:bookmarkStart w:id="169" w:name="_Toc356483746"/>
      <w:bookmarkStart w:id="170" w:name="_Toc356482470"/>
      <w:bookmarkStart w:id="171" w:name="_Toc356483108"/>
      <w:bookmarkStart w:id="172" w:name="_Toc356483747"/>
      <w:bookmarkStart w:id="173" w:name="_Toc356482507"/>
      <w:bookmarkStart w:id="174" w:name="_Toc356483145"/>
      <w:bookmarkStart w:id="175" w:name="_Toc356483784"/>
      <w:bookmarkStart w:id="176" w:name="_Toc356482528"/>
      <w:bookmarkStart w:id="177" w:name="_Toc356483166"/>
      <w:bookmarkStart w:id="178" w:name="_Toc356483805"/>
      <w:bookmarkStart w:id="179" w:name="_Toc356482563"/>
      <w:bookmarkStart w:id="180" w:name="_Toc356483201"/>
      <w:bookmarkStart w:id="181" w:name="_Toc356483840"/>
      <w:bookmarkStart w:id="182" w:name="_Toc356482585"/>
      <w:bookmarkStart w:id="183" w:name="_Toc356483223"/>
      <w:bookmarkStart w:id="184" w:name="_Toc356483862"/>
      <w:bookmarkStart w:id="185" w:name="_Toc357761430"/>
      <w:bookmarkStart w:id="186" w:name="_Toc358228804"/>
      <w:bookmarkStart w:id="187" w:name="_Toc358361301"/>
      <w:bookmarkStart w:id="188" w:name="_Toc364154092"/>
      <w:bookmarkStart w:id="189" w:name="_Toc367700238"/>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247B7D">
        <w:t xml:space="preserve">Indicative </w:t>
      </w:r>
      <w:r>
        <w:t>Freight R</w:t>
      </w:r>
      <w:r w:rsidRPr="00247B7D">
        <w:t xml:space="preserve">ates for </w:t>
      </w:r>
      <w:r>
        <w:t>L</w:t>
      </w:r>
      <w:r w:rsidRPr="00247B7D">
        <w:t xml:space="preserve">iner </w:t>
      </w:r>
      <w:r>
        <w:t>S</w:t>
      </w:r>
      <w:r w:rsidRPr="00247B7D">
        <w:t xml:space="preserve">ervices </w:t>
      </w:r>
      <w:r w:rsidR="003077CE">
        <w:t>to</w:t>
      </w:r>
      <w:r>
        <w:t xml:space="preserve"> and F</w:t>
      </w:r>
      <w:r w:rsidRPr="00247B7D">
        <w:t>rom Australia</w:t>
      </w:r>
      <w:bookmarkEnd w:id="185"/>
      <w:bookmarkEnd w:id="186"/>
      <w:bookmarkEnd w:id="187"/>
      <w:bookmarkEnd w:id="188"/>
      <w:bookmarkEnd w:id="189"/>
    </w:p>
    <w:p w:rsidR="001D1810" w:rsidRDefault="001D1810" w:rsidP="001D1810">
      <w:r>
        <w:t xml:space="preserve">We provide some indicative freight rates for liner services to and from the mainland in this section.  We do this to highlight that comparison of cost between liner services to Asia from the mainland and Bass Strait shipping to the mainland is not appropriate.   The liner service is a different service (as detailed above) and has different market drivers, most notably an imbalance of freight to this region.  </w:t>
      </w:r>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1895"/>
        <w:gridCol w:w="7144"/>
      </w:tblGrid>
      <w:tr w:rsidR="001D1810" w:rsidRPr="00D75FE8" w:rsidTr="0057495B">
        <w:trPr>
          <w:trHeight w:val="552"/>
        </w:trPr>
        <w:tc>
          <w:tcPr>
            <w:tcW w:w="1895" w:type="dxa"/>
            <w:shd w:val="clear" w:color="auto" w:fill="EFF0EF" w:themeFill="accent4"/>
            <w:vAlign w:val="center"/>
          </w:tcPr>
          <w:p w:rsidR="001D1810" w:rsidRPr="00F91EAD" w:rsidRDefault="001D1810" w:rsidP="0057495B">
            <w:pPr>
              <w:pStyle w:val="ListParagraph"/>
              <w:spacing w:before="0" w:after="0"/>
              <w:ind w:left="0" w:right="-62"/>
              <w:jc w:val="center"/>
              <w:rPr>
                <w:b/>
              </w:rPr>
            </w:pPr>
            <w:r w:rsidRPr="00F91EAD">
              <w:rPr>
                <w:b/>
              </w:rPr>
              <w:t>Observation</w:t>
            </w:r>
          </w:p>
        </w:tc>
        <w:tc>
          <w:tcPr>
            <w:tcW w:w="7144" w:type="dxa"/>
            <w:shd w:val="clear" w:color="auto" w:fill="auto"/>
            <w:vAlign w:val="center"/>
          </w:tcPr>
          <w:p w:rsidR="001D1810" w:rsidRPr="00F91EAD" w:rsidRDefault="001D1810" w:rsidP="0057495B">
            <w:pPr>
              <w:spacing w:before="0" w:after="0"/>
              <w:ind w:right="-62"/>
              <w:jc w:val="center"/>
              <w:rPr>
                <w:b/>
              </w:rPr>
            </w:pPr>
            <w:r w:rsidRPr="00F91EAD">
              <w:rPr>
                <w:b/>
              </w:rPr>
              <w:t>Comment</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Pr>
        <w:tc>
          <w:tcPr>
            <w:tcW w:w="1895" w:type="dxa"/>
            <w:shd w:val="clear" w:color="auto" w:fill="EFF0EF" w:themeFill="accent4"/>
          </w:tcPr>
          <w:p w:rsidR="001D1810" w:rsidRPr="00767A8D" w:rsidRDefault="001D1810" w:rsidP="0057495B">
            <w:pPr>
              <w:pStyle w:val="Tables"/>
              <w:rPr>
                <w:b/>
              </w:rPr>
            </w:pPr>
            <w:r w:rsidRPr="00767A8D">
              <w:rPr>
                <w:b/>
              </w:rPr>
              <w:t xml:space="preserve">Freight </w:t>
            </w:r>
            <w:r w:rsidR="006C63E9">
              <w:rPr>
                <w:b/>
              </w:rPr>
              <w:t>R</w:t>
            </w:r>
            <w:r w:rsidRPr="00767A8D">
              <w:rPr>
                <w:b/>
              </w:rPr>
              <w:t>ates</w:t>
            </w:r>
          </w:p>
        </w:tc>
        <w:tc>
          <w:tcPr>
            <w:tcW w:w="7144" w:type="dxa"/>
            <w:shd w:val="clear" w:color="auto" w:fill="auto"/>
          </w:tcPr>
          <w:p w:rsidR="001D1810" w:rsidRDefault="001D1810" w:rsidP="0057495B">
            <w:pPr>
              <w:pStyle w:val="Bullet1"/>
              <w:numPr>
                <w:ilvl w:val="0"/>
                <w:numId w:val="0"/>
              </w:numPr>
            </w:pPr>
            <w:r>
              <w:t>The freight rate is a total of base ocean freight plus numerous surcharges and additional charges. Rates are terminal to terminal and are similar to the basis of charging for moving of freight across Bass Strait.</w:t>
            </w:r>
          </w:p>
          <w:p w:rsidR="001D1810" w:rsidRDefault="001D1810" w:rsidP="0057495B">
            <w:pPr>
              <w:pStyle w:val="Bullet1"/>
              <w:numPr>
                <w:ilvl w:val="0"/>
                <w:numId w:val="0"/>
              </w:numPr>
            </w:pPr>
            <w:r>
              <w:t>The Australia to Asia freight rate is substantially less than from Asia to Australia because of the imbalance in the flow of containerized freight in this trade route as Australia is an importer of finished and consumer goods, and an exporter of bulk commodities and agricultural products. Shipping lines offer discounted rates to shippers who want containers repositioned north.</w:t>
            </w:r>
          </w:p>
          <w:p w:rsidR="001D1810" w:rsidRDefault="001D1810" w:rsidP="0057495B">
            <w:pPr>
              <w:pStyle w:val="Bullet1"/>
              <w:numPr>
                <w:ilvl w:val="0"/>
                <w:numId w:val="0"/>
              </w:numPr>
            </w:pPr>
            <w:r>
              <w:t>The rates for refrigerated containers are usually greater than USD$500 per container</w:t>
            </w:r>
            <w:r w:rsidR="00E3251E">
              <w:t>,</w:t>
            </w:r>
            <w:r>
              <w:t xml:space="preserve"> more than for a general-purpose container. </w:t>
            </w:r>
          </w:p>
        </w:tc>
      </w:tr>
      <w:tr w:rsidR="001D1810" w:rsidRPr="00D75FE8" w:rsidTr="0057495B">
        <w:tc>
          <w:tcPr>
            <w:tcW w:w="1895" w:type="dxa"/>
            <w:shd w:val="clear" w:color="auto" w:fill="EFF0EF" w:themeFill="accent4"/>
          </w:tcPr>
          <w:p w:rsidR="001D1810" w:rsidRPr="00767A8D" w:rsidRDefault="001D1810" w:rsidP="0057495B">
            <w:pPr>
              <w:pStyle w:val="Tables"/>
              <w:rPr>
                <w:b/>
              </w:rPr>
            </w:pPr>
            <w:r w:rsidRPr="00767A8D">
              <w:rPr>
                <w:b/>
              </w:rPr>
              <w:lastRenderedPageBreak/>
              <w:t>Implications</w:t>
            </w:r>
          </w:p>
        </w:tc>
        <w:tc>
          <w:tcPr>
            <w:tcW w:w="7144" w:type="dxa"/>
            <w:shd w:val="clear" w:color="auto" w:fill="auto"/>
          </w:tcPr>
          <w:p w:rsidR="001D1810" w:rsidRDefault="001D1810" w:rsidP="0057495B">
            <w:pPr>
              <w:pStyle w:val="Bullet1"/>
              <w:numPr>
                <w:ilvl w:val="0"/>
                <w:numId w:val="0"/>
              </w:numPr>
            </w:pPr>
            <w:r>
              <w:t xml:space="preserve">The implication of the above is that Tasmanian exporters who export their products to Asia will obtain very favourable international liner freight rates. However, this would not be a fair comparison on which to judge Bass Strait shipping rates. </w:t>
            </w:r>
          </w:p>
        </w:tc>
      </w:tr>
    </w:tbl>
    <w:p w:rsidR="001D1810" w:rsidRDefault="001D1810" w:rsidP="001D1810">
      <w:pPr>
        <w:ind w:right="-64"/>
      </w:pPr>
    </w:p>
    <w:p w:rsidR="001D1810" w:rsidRDefault="00CA7023" w:rsidP="001D1810">
      <w:pPr>
        <w:ind w:right="-64"/>
      </w:pPr>
      <w:r>
        <w:fldChar w:fldCharType="begin"/>
      </w:r>
      <w:r w:rsidR="001D1810">
        <w:instrText xml:space="preserve"> REF _Ref358720144 \h </w:instrText>
      </w:r>
      <w:r>
        <w:fldChar w:fldCharType="separate"/>
      </w:r>
      <w:r w:rsidR="00FF5EB2">
        <w:t>Table13</w:t>
      </w:r>
      <w:r>
        <w:fldChar w:fldCharType="end"/>
      </w:r>
      <w:r w:rsidR="001D1810">
        <w:t xml:space="preserve"> provides a comparison of indicative freight rates for International Liner services across a sample of routes to and from Australia and shows there is significant variability in shipping rates depending on route and type of container shipped.  As discussed, rates from Australia to Asia are considerably lower than those from Asia into Australia due to the trade imbalance in this region. This means that direct international rates from Australia are likely to be lower as shipping lines back-haul, further distorting and comparison with Bass Strait freight rates.</w:t>
      </w:r>
    </w:p>
    <w:tbl>
      <w:tblPr>
        <w:tblStyle w:val="Style1"/>
        <w:tblW w:w="9845" w:type="dxa"/>
        <w:tblLook w:val="04A0" w:firstRow="1" w:lastRow="0" w:firstColumn="1" w:lastColumn="0" w:noHBand="0" w:noVBand="1"/>
      </w:tblPr>
      <w:tblGrid>
        <w:gridCol w:w="1602"/>
        <w:gridCol w:w="1381"/>
        <w:gridCol w:w="2088"/>
        <w:gridCol w:w="1379"/>
        <w:gridCol w:w="1386"/>
        <w:gridCol w:w="2009"/>
      </w:tblGrid>
      <w:tr w:rsidR="001D1810" w:rsidRPr="00557C0E" w:rsidTr="0057495B">
        <w:trPr>
          <w:cnfStyle w:val="100000000000" w:firstRow="1" w:lastRow="0" w:firstColumn="0" w:lastColumn="0" w:oddVBand="0" w:evenVBand="0" w:oddHBand="0" w:evenHBand="0" w:firstRowFirstColumn="0" w:firstRowLastColumn="0" w:lastRowFirstColumn="0" w:lastRowLastColumn="0"/>
          <w:trHeight w:val="810"/>
          <w:tblHeader/>
        </w:trPr>
        <w:tc>
          <w:tcPr>
            <w:cnfStyle w:val="001000000000" w:firstRow="0" w:lastRow="0" w:firstColumn="1" w:lastColumn="0" w:oddVBand="0" w:evenVBand="0" w:oddHBand="0" w:evenHBand="0" w:firstRowFirstColumn="0" w:firstRowLastColumn="0" w:lastRowFirstColumn="0" w:lastRowLastColumn="0"/>
            <w:tcW w:w="1602" w:type="dxa"/>
          </w:tcPr>
          <w:p w:rsidR="001D1810" w:rsidRPr="00557C0E" w:rsidRDefault="001D1810" w:rsidP="0057495B">
            <w:pPr>
              <w:spacing w:before="144" w:after="144"/>
              <w:jc w:val="center"/>
              <w:rPr>
                <w:rFonts w:ascii="Calibri" w:eastAsia="Times New Roman" w:hAnsi="Calibri" w:cs="Times New Roman"/>
                <w:b w:val="0"/>
                <w:color w:val="000000"/>
                <w:sz w:val="22"/>
                <w:szCs w:val="22"/>
                <w:lang w:eastAsia="en-GB"/>
              </w:rPr>
            </w:pPr>
            <w:r>
              <w:rPr>
                <w:rFonts w:ascii="Calibri" w:eastAsia="Times New Roman" w:hAnsi="Calibri" w:cs="Times New Roman"/>
                <w:b w:val="0"/>
                <w:color w:val="000000"/>
                <w:sz w:val="22"/>
                <w:szCs w:val="22"/>
                <w:lang w:eastAsia="en-GB"/>
              </w:rPr>
              <w:t>Shipping</w:t>
            </w:r>
            <w:r w:rsidRPr="00557C0E">
              <w:rPr>
                <w:rFonts w:ascii="Calibri" w:eastAsia="Times New Roman" w:hAnsi="Calibri" w:cs="Times New Roman"/>
                <w:b w:val="0"/>
                <w:color w:val="000000"/>
                <w:sz w:val="22"/>
                <w:szCs w:val="22"/>
                <w:lang w:eastAsia="en-GB"/>
              </w:rPr>
              <w:t xml:space="preserve"> Line</w:t>
            </w:r>
          </w:p>
        </w:tc>
        <w:tc>
          <w:tcPr>
            <w:tcW w:w="1381" w:type="dxa"/>
          </w:tcPr>
          <w:p w:rsidR="001D1810" w:rsidRPr="00557C0E" w:rsidRDefault="001D1810" w:rsidP="0057495B">
            <w:pPr>
              <w:spacing w:before="144" w:after="14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2"/>
                <w:szCs w:val="22"/>
                <w:lang w:eastAsia="en-GB"/>
              </w:rPr>
            </w:pPr>
            <w:r w:rsidRPr="00557C0E">
              <w:rPr>
                <w:rFonts w:ascii="Calibri" w:eastAsia="Times New Roman" w:hAnsi="Calibri" w:cs="Times New Roman"/>
                <w:b w:val="0"/>
                <w:color w:val="000000"/>
                <w:sz w:val="22"/>
                <w:szCs w:val="22"/>
                <w:lang w:eastAsia="en-GB"/>
              </w:rPr>
              <w:t>Type of container</w:t>
            </w:r>
          </w:p>
        </w:tc>
        <w:tc>
          <w:tcPr>
            <w:tcW w:w="2088" w:type="dxa"/>
          </w:tcPr>
          <w:p w:rsidR="001D1810" w:rsidRPr="00557C0E" w:rsidRDefault="001D1810" w:rsidP="0057495B">
            <w:pPr>
              <w:spacing w:before="144" w:after="14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2"/>
                <w:szCs w:val="22"/>
                <w:lang w:eastAsia="en-GB"/>
              </w:rPr>
            </w:pPr>
            <w:r w:rsidRPr="00557C0E">
              <w:rPr>
                <w:rFonts w:ascii="Calibri" w:eastAsia="Times New Roman" w:hAnsi="Calibri" w:cs="Times New Roman"/>
                <w:b w:val="0"/>
                <w:color w:val="000000"/>
                <w:sz w:val="22"/>
                <w:szCs w:val="22"/>
                <w:lang w:eastAsia="en-GB"/>
              </w:rPr>
              <w:t>Route</w:t>
            </w:r>
          </w:p>
        </w:tc>
        <w:tc>
          <w:tcPr>
            <w:tcW w:w="1379" w:type="dxa"/>
          </w:tcPr>
          <w:p w:rsidR="001D1810" w:rsidRPr="00557C0E" w:rsidRDefault="001D1810" w:rsidP="0057495B">
            <w:pPr>
              <w:spacing w:before="144" w:after="14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2"/>
                <w:szCs w:val="22"/>
                <w:lang w:eastAsia="en-GB"/>
              </w:rPr>
            </w:pPr>
            <w:r w:rsidRPr="00557C0E">
              <w:rPr>
                <w:rFonts w:ascii="Calibri" w:eastAsia="Times New Roman" w:hAnsi="Calibri" w:cs="Times New Roman"/>
                <w:b w:val="0"/>
                <w:color w:val="000000"/>
                <w:sz w:val="22"/>
                <w:szCs w:val="22"/>
                <w:lang w:eastAsia="en-GB"/>
              </w:rPr>
              <w:t xml:space="preserve">Total freight </w:t>
            </w:r>
            <w:r>
              <w:rPr>
                <w:rFonts w:ascii="Calibri" w:eastAsia="Times New Roman" w:hAnsi="Calibri" w:cs="Times New Roman"/>
                <w:b w:val="0"/>
                <w:color w:val="000000"/>
                <w:sz w:val="22"/>
                <w:szCs w:val="22"/>
                <w:lang w:eastAsia="en-GB"/>
              </w:rPr>
              <w:t>$USD</w:t>
            </w:r>
          </w:p>
        </w:tc>
        <w:tc>
          <w:tcPr>
            <w:tcW w:w="1386" w:type="dxa"/>
          </w:tcPr>
          <w:p w:rsidR="001D1810" w:rsidRPr="00557C0E" w:rsidRDefault="001D1810" w:rsidP="0057495B">
            <w:pPr>
              <w:spacing w:before="144" w:after="14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2"/>
                <w:szCs w:val="22"/>
                <w:lang w:eastAsia="en-GB"/>
              </w:rPr>
            </w:pPr>
            <w:r w:rsidRPr="00557C0E">
              <w:rPr>
                <w:rFonts w:ascii="Calibri" w:eastAsia="Times New Roman" w:hAnsi="Calibri" w:cs="Times New Roman"/>
                <w:b w:val="0"/>
                <w:color w:val="000000"/>
                <w:sz w:val="22"/>
                <w:szCs w:val="22"/>
                <w:lang w:eastAsia="en-GB"/>
              </w:rPr>
              <w:t xml:space="preserve">Total freight </w:t>
            </w:r>
            <w:r>
              <w:rPr>
                <w:rFonts w:ascii="Calibri" w:eastAsia="Times New Roman" w:hAnsi="Calibri" w:cs="Times New Roman"/>
                <w:b w:val="0"/>
                <w:color w:val="000000"/>
                <w:sz w:val="22"/>
                <w:szCs w:val="22"/>
                <w:lang w:eastAsia="en-GB"/>
              </w:rPr>
              <w:t>$AU</w:t>
            </w:r>
            <w:r w:rsidRPr="00557C0E">
              <w:rPr>
                <w:rFonts w:ascii="Calibri" w:eastAsia="Times New Roman" w:hAnsi="Calibri" w:cs="Times New Roman"/>
                <w:b w:val="0"/>
                <w:color w:val="000000"/>
                <w:sz w:val="22"/>
                <w:szCs w:val="22"/>
                <w:lang w:eastAsia="en-GB"/>
              </w:rPr>
              <w:t>D</w:t>
            </w:r>
            <w:r>
              <w:rPr>
                <w:rFonts w:ascii="Calibri" w:eastAsia="Times New Roman" w:hAnsi="Calibri" w:cs="Times New Roman"/>
                <w:b w:val="0"/>
                <w:color w:val="000000"/>
                <w:sz w:val="22"/>
                <w:szCs w:val="22"/>
                <w:lang w:eastAsia="en-GB"/>
              </w:rPr>
              <w:t>*</w:t>
            </w:r>
          </w:p>
        </w:tc>
        <w:tc>
          <w:tcPr>
            <w:tcW w:w="2009" w:type="dxa"/>
          </w:tcPr>
          <w:p w:rsidR="001D1810" w:rsidRPr="00557C0E" w:rsidRDefault="001D1810" w:rsidP="0057495B">
            <w:pPr>
              <w:spacing w:before="144" w:after="14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2"/>
                <w:szCs w:val="22"/>
                <w:lang w:eastAsia="en-GB"/>
              </w:rPr>
            </w:pPr>
            <w:r w:rsidRPr="00557C0E">
              <w:rPr>
                <w:rFonts w:ascii="Calibri" w:eastAsia="Times New Roman" w:hAnsi="Calibri" w:cs="Times New Roman"/>
                <w:b w:val="0"/>
                <w:color w:val="000000"/>
                <w:sz w:val="22"/>
                <w:szCs w:val="22"/>
                <w:lang w:eastAsia="en-GB"/>
              </w:rPr>
              <w:t>Products</w:t>
            </w:r>
          </w:p>
        </w:tc>
      </w:tr>
      <w:tr w:rsidR="001D1810" w:rsidRPr="00557C0E" w:rsidTr="0057495B">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602" w:type="dxa"/>
          </w:tcPr>
          <w:p w:rsidR="001D1810" w:rsidRPr="00557C0E" w:rsidRDefault="001D1810" w:rsidP="00D75D2B">
            <w:pPr>
              <w:spacing w:beforeLines="60" w:before="144" w:afterLines="60" w:after="144"/>
              <w:jc w:val="center"/>
              <w:rPr>
                <w:rFonts w:ascii="Calibri" w:eastAsia="Times New Roman" w:hAnsi="Calibri" w:cs="Times New Roman"/>
                <w:color w:val="000000"/>
                <w:sz w:val="22"/>
                <w:szCs w:val="22"/>
                <w:lang w:eastAsia="en-GB"/>
              </w:rPr>
            </w:pPr>
            <w:r w:rsidRPr="00557C0E">
              <w:rPr>
                <w:rFonts w:ascii="Calibri" w:eastAsia="Times New Roman" w:hAnsi="Calibri" w:cs="Times New Roman"/>
                <w:color w:val="000000"/>
                <w:sz w:val="22"/>
                <w:szCs w:val="22"/>
                <w:lang w:eastAsia="en-GB"/>
              </w:rPr>
              <w:t>Line H</w:t>
            </w:r>
          </w:p>
        </w:tc>
        <w:tc>
          <w:tcPr>
            <w:tcW w:w="1381"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20ft GP</w:t>
            </w:r>
          </w:p>
        </w:tc>
        <w:tc>
          <w:tcPr>
            <w:tcW w:w="2088"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Melb to Shanghai</w:t>
            </w:r>
          </w:p>
        </w:tc>
        <w:tc>
          <w:tcPr>
            <w:tcW w:w="1379"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$1,112</w:t>
            </w:r>
          </w:p>
        </w:tc>
        <w:tc>
          <w:tcPr>
            <w:tcW w:w="1386"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Pr>
                <w:rFonts w:ascii="Calibri" w:eastAsia="Times New Roman" w:hAnsi="Calibri" w:cs="Times New Roman"/>
                <w:color w:val="000000"/>
                <w:sz w:val="22"/>
                <w:szCs w:val="22"/>
                <w:lang w:eastAsia="en-GB"/>
              </w:rPr>
              <w:t>$1,079</w:t>
            </w:r>
          </w:p>
        </w:tc>
        <w:tc>
          <w:tcPr>
            <w:tcW w:w="2009"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General, food etc</w:t>
            </w:r>
          </w:p>
        </w:tc>
      </w:tr>
      <w:tr w:rsidR="001D1810" w:rsidRPr="00557C0E" w:rsidTr="0057495B">
        <w:trPr>
          <w:cnfStyle w:val="000000010000" w:firstRow="0" w:lastRow="0" w:firstColumn="0" w:lastColumn="0" w:oddVBand="0" w:evenVBand="0" w:oddHBand="0" w:evenHBand="1"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602" w:type="dxa"/>
          </w:tcPr>
          <w:p w:rsidR="001D1810" w:rsidRPr="00557C0E" w:rsidRDefault="001D1810" w:rsidP="00D75D2B">
            <w:pPr>
              <w:spacing w:beforeLines="60" w:before="144" w:afterLines="60" w:after="144"/>
              <w:jc w:val="center"/>
              <w:rPr>
                <w:rFonts w:ascii="Calibri" w:eastAsia="Times New Roman" w:hAnsi="Calibri" w:cs="Times New Roman"/>
                <w:color w:val="000000"/>
                <w:sz w:val="22"/>
                <w:szCs w:val="22"/>
                <w:lang w:eastAsia="en-GB"/>
              </w:rPr>
            </w:pPr>
            <w:r w:rsidRPr="00557C0E">
              <w:rPr>
                <w:rFonts w:ascii="Calibri" w:eastAsia="Times New Roman" w:hAnsi="Calibri" w:cs="Times New Roman"/>
                <w:color w:val="000000"/>
                <w:sz w:val="22"/>
                <w:szCs w:val="22"/>
                <w:lang w:eastAsia="en-GB"/>
              </w:rPr>
              <w:t>Line H</w:t>
            </w:r>
          </w:p>
        </w:tc>
        <w:tc>
          <w:tcPr>
            <w:tcW w:w="1381" w:type="dxa"/>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40ft GP</w:t>
            </w:r>
          </w:p>
        </w:tc>
        <w:tc>
          <w:tcPr>
            <w:tcW w:w="2088" w:type="dxa"/>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Melb to Shanghai</w:t>
            </w:r>
          </w:p>
        </w:tc>
        <w:tc>
          <w:tcPr>
            <w:tcW w:w="1379" w:type="dxa"/>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$1,338</w:t>
            </w:r>
          </w:p>
        </w:tc>
        <w:tc>
          <w:tcPr>
            <w:tcW w:w="1386" w:type="dxa"/>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Pr>
                <w:rFonts w:ascii="Calibri" w:eastAsia="Times New Roman" w:hAnsi="Calibri" w:cs="Times New Roman"/>
                <w:color w:val="000000"/>
                <w:sz w:val="22"/>
                <w:szCs w:val="22"/>
                <w:lang w:eastAsia="en-GB"/>
              </w:rPr>
              <w:t>$1,298</w:t>
            </w:r>
          </w:p>
        </w:tc>
        <w:tc>
          <w:tcPr>
            <w:tcW w:w="2009" w:type="dxa"/>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General &amp; Food etc</w:t>
            </w:r>
          </w:p>
        </w:tc>
      </w:tr>
      <w:tr w:rsidR="001D1810" w:rsidRPr="00557C0E" w:rsidTr="0057495B">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02" w:type="dxa"/>
          </w:tcPr>
          <w:p w:rsidR="001D1810" w:rsidRPr="00557C0E" w:rsidRDefault="001D1810" w:rsidP="00D75D2B">
            <w:pPr>
              <w:spacing w:beforeLines="60" w:before="144" w:afterLines="60" w:after="144"/>
              <w:jc w:val="center"/>
              <w:rPr>
                <w:rFonts w:ascii="Calibri" w:eastAsia="Times New Roman" w:hAnsi="Calibri" w:cs="Times New Roman"/>
                <w:color w:val="000000"/>
                <w:sz w:val="22"/>
                <w:szCs w:val="22"/>
                <w:lang w:eastAsia="en-GB"/>
              </w:rPr>
            </w:pPr>
            <w:r w:rsidRPr="00557C0E">
              <w:rPr>
                <w:rFonts w:ascii="Calibri" w:eastAsia="Times New Roman" w:hAnsi="Calibri" w:cs="Times New Roman"/>
                <w:color w:val="000000"/>
                <w:sz w:val="22"/>
                <w:szCs w:val="22"/>
                <w:lang w:eastAsia="en-GB"/>
              </w:rPr>
              <w:t>Line A</w:t>
            </w:r>
          </w:p>
        </w:tc>
        <w:tc>
          <w:tcPr>
            <w:tcW w:w="1381"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20ft GP</w:t>
            </w:r>
          </w:p>
        </w:tc>
        <w:tc>
          <w:tcPr>
            <w:tcW w:w="2088"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Melb to Shanghai</w:t>
            </w:r>
          </w:p>
        </w:tc>
        <w:tc>
          <w:tcPr>
            <w:tcW w:w="1379"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w:t>
            </w:r>
            <w:r>
              <w:rPr>
                <w:rFonts w:ascii="Calibri" w:eastAsia="Times New Roman" w:hAnsi="Calibri" w:cs="Times New Roman"/>
                <w:color w:val="000000"/>
                <w:sz w:val="22"/>
                <w:szCs w:val="22"/>
                <w:lang w:eastAsia="en-GB"/>
              </w:rPr>
              <w:t>999</w:t>
            </w:r>
          </w:p>
        </w:tc>
        <w:tc>
          <w:tcPr>
            <w:tcW w:w="1386"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Pr>
                <w:rFonts w:ascii="Calibri" w:eastAsia="Times New Roman" w:hAnsi="Calibri" w:cs="Times New Roman"/>
                <w:color w:val="000000"/>
                <w:sz w:val="22"/>
                <w:szCs w:val="22"/>
                <w:lang w:eastAsia="en-GB"/>
              </w:rPr>
              <w:t>$969</w:t>
            </w:r>
          </w:p>
        </w:tc>
        <w:tc>
          <w:tcPr>
            <w:tcW w:w="2009"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Non perishable food, paper</w:t>
            </w:r>
          </w:p>
        </w:tc>
      </w:tr>
      <w:tr w:rsidR="001D1810" w:rsidRPr="00557C0E" w:rsidTr="0057495B">
        <w:trPr>
          <w:cnfStyle w:val="000000010000" w:firstRow="0" w:lastRow="0" w:firstColumn="0" w:lastColumn="0" w:oddVBand="0" w:evenVBand="0" w:oddHBand="0" w:evenHBand="1"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602" w:type="dxa"/>
            <w:tcBorders>
              <w:bottom w:val="single" w:sz="4" w:space="0" w:color="A6A6A6" w:themeColor="background1" w:themeShade="A6"/>
            </w:tcBorders>
          </w:tcPr>
          <w:p w:rsidR="001D1810" w:rsidRPr="00557C0E" w:rsidRDefault="001D1810" w:rsidP="00D75D2B">
            <w:pPr>
              <w:spacing w:beforeLines="60" w:before="144" w:afterLines="60" w:after="144"/>
              <w:jc w:val="center"/>
              <w:rPr>
                <w:rFonts w:ascii="Calibri" w:eastAsia="Times New Roman" w:hAnsi="Calibri" w:cs="Times New Roman"/>
                <w:color w:val="000000"/>
                <w:sz w:val="22"/>
                <w:szCs w:val="22"/>
                <w:lang w:eastAsia="en-GB"/>
              </w:rPr>
            </w:pPr>
            <w:r w:rsidRPr="00557C0E">
              <w:rPr>
                <w:rFonts w:ascii="Calibri" w:eastAsia="Times New Roman" w:hAnsi="Calibri" w:cs="Times New Roman"/>
                <w:color w:val="000000"/>
                <w:sz w:val="22"/>
                <w:szCs w:val="22"/>
                <w:lang w:eastAsia="en-GB"/>
              </w:rPr>
              <w:t>Line A</w:t>
            </w:r>
          </w:p>
        </w:tc>
        <w:tc>
          <w:tcPr>
            <w:tcW w:w="1381" w:type="dxa"/>
            <w:tcBorders>
              <w:bottom w:val="single" w:sz="4" w:space="0" w:color="A6A6A6" w:themeColor="background1" w:themeShade="A6"/>
            </w:tcBorders>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40ft GP</w:t>
            </w:r>
          </w:p>
        </w:tc>
        <w:tc>
          <w:tcPr>
            <w:tcW w:w="2088" w:type="dxa"/>
            <w:tcBorders>
              <w:bottom w:val="single" w:sz="4" w:space="0" w:color="A6A6A6" w:themeColor="background1" w:themeShade="A6"/>
            </w:tcBorders>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Melb to Shanghai</w:t>
            </w:r>
          </w:p>
        </w:tc>
        <w:tc>
          <w:tcPr>
            <w:tcW w:w="1379" w:type="dxa"/>
            <w:tcBorders>
              <w:bottom w:val="single" w:sz="4" w:space="0" w:color="A6A6A6" w:themeColor="background1" w:themeShade="A6"/>
            </w:tcBorders>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$1</w:t>
            </w:r>
            <w:r>
              <w:rPr>
                <w:rFonts w:ascii="Calibri" w:eastAsia="Times New Roman" w:hAnsi="Calibri" w:cs="Times New Roman"/>
                <w:color w:val="000000"/>
                <w:sz w:val="22"/>
                <w:szCs w:val="22"/>
                <w:lang w:eastAsia="en-GB"/>
              </w:rPr>
              <w:t>,</w:t>
            </w:r>
            <w:r w:rsidRPr="00557C0E">
              <w:rPr>
                <w:rFonts w:ascii="Calibri" w:eastAsia="Times New Roman" w:hAnsi="Calibri" w:cs="Times New Roman"/>
                <w:color w:val="000000"/>
                <w:sz w:val="22"/>
                <w:szCs w:val="22"/>
                <w:lang w:eastAsia="en-GB"/>
              </w:rPr>
              <w:t>17</w:t>
            </w:r>
            <w:r>
              <w:rPr>
                <w:rFonts w:ascii="Calibri" w:eastAsia="Times New Roman" w:hAnsi="Calibri" w:cs="Times New Roman"/>
                <w:color w:val="000000"/>
                <w:sz w:val="22"/>
                <w:szCs w:val="22"/>
                <w:lang w:eastAsia="en-GB"/>
              </w:rPr>
              <w:t>9</w:t>
            </w:r>
          </w:p>
        </w:tc>
        <w:tc>
          <w:tcPr>
            <w:tcW w:w="1386" w:type="dxa"/>
            <w:tcBorders>
              <w:bottom w:val="single" w:sz="4" w:space="0" w:color="A6A6A6" w:themeColor="background1" w:themeShade="A6"/>
            </w:tcBorders>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Pr>
                <w:rFonts w:ascii="Calibri" w:eastAsia="Times New Roman" w:hAnsi="Calibri" w:cs="Times New Roman"/>
                <w:color w:val="000000"/>
                <w:sz w:val="22"/>
                <w:szCs w:val="22"/>
                <w:lang w:eastAsia="en-GB"/>
              </w:rPr>
              <w:t>$1,143</w:t>
            </w:r>
          </w:p>
        </w:tc>
        <w:tc>
          <w:tcPr>
            <w:tcW w:w="2009" w:type="dxa"/>
            <w:tcBorders>
              <w:bottom w:val="single" w:sz="4" w:space="0" w:color="A6A6A6" w:themeColor="background1" w:themeShade="A6"/>
            </w:tcBorders>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Non perishable food, paper</w:t>
            </w:r>
          </w:p>
        </w:tc>
      </w:tr>
      <w:tr w:rsidR="001D1810" w:rsidRPr="00557C0E" w:rsidTr="0057495B">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602" w:type="dxa"/>
          </w:tcPr>
          <w:p w:rsidR="001D1810" w:rsidRPr="00557C0E" w:rsidRDefault="001D1810" w:rsidP="00D75D2B">
            <w:pPr>
              <w:spacing w:beforeLines="60" w:before="144" w:afterLines="60" w:after="144"/>
              <w:jc w:val="center"/>
              <w:rPr>
                <w:rFonts w:ascii="Calibri" w:eastAsia="Times New Roman" w:hAnsi="Calibri" w:cs="Times New Roman"/>
                <w:color w:val="000000"/>
                <w:sz w:val="22"/>
                <w:szCs w:val="22"/>
                <w:lang w:eastAsia="en-GB"/>
              </w:rPr>
            </w:pPr>
            <w:r w:rsidRPr="00557C0E">
              <w:rPr>
                <w:rFonts w:ascii="Calibri" w:eastAsia="Times New Roman" w:hAnsi="Calibri" w:cs="Times New Roman"/>
                <w:color w:val="000000"/>
                <w:sz w:val="22"/>
                <w:szCs w:val="22"/>
                <w:lang w:eastAsia="en-GB"/>
              </w:rPr>
              <w:t>Line H</w:t>
            </w:r>
          </w:p>
        </w:tc>
        <w:tc>
          <w:tcPr>
            <w:tcW w:w="1381"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20ft GP</w:t>
            </w:r>
          </w:p>
        </w:tc>
        <w:tc>
          <w:tcPr>
            <w:tcW w:w="2088"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Shanghai to Melb</w:t>
            </w:r>
          </w:p>
        </w:tc>
        <w:tc>
          <w:tcPr>
            <w:tcW w:w="1379"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$2,321</w:t>
            </w:r>
          </w:p>
        </w:tc>
        <w:tc>
          <w:tcPr>
            <w:tcW w:w="1386"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Pr>
                <w:rFonts w:ascii="Calibri" w:eastAsia="Times New Roman" w:hAnsi="Calibri" w:cs="Times New Roman"/>
                <w:color w:val="000000"/>
                <w:sz w:val="22"/>
                <w:szCs w:val="22"/>
                <w:lang w:eastAsia="en-GB"/>
              </w:rPr>
              <w:t>$2,251</w:t>
            </w:r>
          </w:p>
        </w:tc>
        <w:tc>
          <w:tcPr>
            <w:tcW w:w="2009"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Machinery</w:t>
            </w:r>
          </w:p>
        </w:tc>
      </w:tr>
      <w:tr w:rsidR="001D1810" w:rsidRPr="00557C0E" w:rsidTr="0057495B">
        <w:trPr>
          <w:cnfStyle w:val="000000010000" w:firstRow="0" w:lastRow="0" w:firstColumn="0" w:lastColumn="0" w:oddVBand="0" w:evenVBand="0" w:oddHBand="0" w:evenHBand="1"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602" w:type="dxa"/>
            <w:tcBorders>
              <w:bottom w:val="single" w:sz="4" w:space="0" w:color="A6A6A6" w:themeColor="background1" w:themeShade="A6"/>
            </w:tcBorders>
          </w:tcPr>
          <w:p w:rsidR="001D1810" w:rsidRPr="00557C0E" w:rsidRDefault="001D1810" w:rsidP="00D75D2B">
            <w:pPr>
              <w:spacing w:beforeLines="60" w:before="144" w:afterLines="60" w:after="144"/>
              <w:jc w:val="center"/>
              <w:rPr>
                <w:rFonts w:ascii="Calibri" w:eastAsia="Times New Roman" w:hAnsi="Calibri" w:cs="Times New Roman"/>
                <w:color w:val="000000"/>
                <w:sz w:val="22"/>
                <w:szCs w:val="22"/>
                <w:lang w:eastAsia="en-GB"/>
              </w:rPr>
            </w:pPr>
            <w:r w:rsidRPr="00557C0E">
              <w:rPr>
                <w:rFonts w:ascii="Calibri" w:eastAsia="Times New Roman" w:hAnsi="Calibri" w:cs="Times New Roman"/>
                <w:color w:val="000000"/>
                <w:sz w:val="22"/>
                <w:szCs w:val="22"/>
                <w:lang w:eastAsia="en-GB"/>
              </w:rPr>
              <w:t>Line H</w:t>
            </w:r>
          </w:p>
        </w:tc>
        <w:tc>
          <w:tcPr>
            <w:tcW w:w="1381" w:type="dxa"/>
            <w:tcBorders>
              <w:bottom w:val="single" w:sz="4" w:space="0" w:color="A6A6A6" w:themeColor="background1" w:themeShade="A6"/>
            </w:tcBorders>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40ft GP</w:t>
            </w:r>
          </w:p>
        </w:tc>
        <w:tc>
          <w:tcPr>
            <w:tcW w:w="2088" w:type="dxa"/>
            <w:tcBorders>
              <w:bottom w:val="single" w:sz="4" w:space="0" w:color="A6A6A6" w:themeColor="background1" w:themeShade="A6"/>
            </w:tcBorders>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Shanghai to Melb</w:t>
            </w:r>
          </w:p>
        </w:tc>
        <w:tc>
          <w:tcPr>
            <w:tcW w:w="1379" w:type="dxa"/>
            <w:tcBorders>
              <w:bottom w:val="single" w:sz="4" w:space="0" w:color="A6A6A6" w:themeColor="background1" w:themeShade="A6"/>
            </w:tcBorders>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$4,216</w:t>
            </w:r>
          </w:p>
        </w:tc>
        <w:tc>
          <w:tcPr>
            <w:tcW w:w="1386" w:type="dxa"/>
            <w:tcBorders>
              <w:bottom w:val="single" w:sz="4" w:space="0" w:color="A6A6A6" w:themeColor="background1" w:themeShade="A6"/>
            </w:tcBorders>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Pr>
                <w:rFonts w:ascii="Calibri" w:eastAsia="Times New Roman" w:hAnsi="Calibri" w:cs="Times New Roman"/>
                <w:color w:val="000000"/>
                <w:sz w:val="22"/>
                <w:szCs w:val="22"/>
                <w:lang w:eastAsia="en-GB"/>
              </w:rPr>
              <w:t>$4,089</w:t>
            </w:r>
          </w:p>
        </w:tc>
        <w:tc>
          <w:tcPr>
            <w:tcW w:w="2009" w:type="dxa"/>
            <w:tcBorders>
              <w:bottom w:val="single" w:sz="4" w:space="0" w:color="A6A6A6" w:themeColor="background1" w:themeShade="A6"/>
            </w:tcBorders>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Machinery</w:t>
            </w:r>
          </w:p>
        </w:tc>
      </w:tr>
      <w:tr w:rsidR="001D1810" w:rsidRPr="00557C0E" w:rsidTr="0057495B">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602" w:type="dxa"/>
          </w:tcPr>
          <w:p w:rsidR="001D1810" w:rsidRPr="00557C0E" w:rsidRDefault="001D1810" w:rsidP="00D75D2B">
            <w:pPr>
              <w:spacing w:beforeLines="60" w:before="144" w:afterLines="60" w:after="144"/>
              <w:jc w:val="center"/>
              <w:rPr>
                <w:rFonts w:ascii="Calibri" w:eastAsia="Times New Roman" w:hAnsi="Calibri" w:cs="Times New Roman"/>
                <w:color w:val="000000"/>
                <w:sz w:val="22"/>
                <w:szCs w:val="22"/>
                <w:lang w:eastAsia="en-GB"/>
              </w:rPr>
            </w:pPr>
            <w:r w:rsidRPr="00557C0E">
              <w:rPr>
                <w:rFonts w:ascii="Calibri" w:eastAsia="Times New Roman" w:hAnsi="Calibri" w:cs="Times New Roman"/>
                <w:color w:val="000000"/>
                <w:sz w:val="22"/>
                <w:szCs w:val="22"/>
                <w:lang w:eastAsia="en-GB"/>
              </w:rPr>
              <w:t>Line H</w:t>
            </w:r>
          </w:p>
        </w:tc>
        <w:tc>
          <w:tcPr>
            <w:tcW w:w="1381"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20ft Reefer</w:t>
            </w:r>
          </w:p>
        </w:tc>
        <w:tc>
          <w:tcPr>
            <w:tcW w:w="2088"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Melb to Singapore</w:t>
            </w:r>
          </w:p>
        </w:tc>
        <w:tc>
          <w:tcPr>
            <w:tcW w:w="1379"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$2,757</w:t>
            </w:r>
          </w:p>
        </w:tc>
        <w:tc>
          <w:tcPr>
            <w:tcW w:w="1386"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Pr>
                <w:rFonts w:ascii="Calibri" w:eastAsia="Times New Roman" w:hAnsi="Calibri" w:cs="Times New Roman"/>
                <w:color w:val="000000"/>
                <w:sz w:val="22"/>
                <w:szCs w:val="22"/>
                <w:lang w:eastAsia="en-GB"/>
              </w:rPr>
              <w:t>$2,674</w:t>
            </w:r>
          </w:p>
        </w:tc>
        <w:tc>
          <w:tcPr>
            <w:tcW w:w="2009" w:type="dxa"/>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Frozen Veg</w:t>
            </w:r>
          </w:p>
        </w:tc>
      </w:tr>
      <w:tr w:rsidR="001D1810" w:rsidRPr="00557C0E" w:rsidTr="0057495B">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602" w:type="dxa"/>
          </w:tcPr>
          <w:p w:rsidR="001D1810" w:rsidRPr="00557C0E" w:rsidRDefault="001D1810" w:rsidP="00D75D2B">
            <w:pPr>
              <w:spacing w:beforeLines="60" w:before="144" w:afterLines="60" w:after="144"/>
              <w:jc w:val="center"/>
              <w:rPr>
                <w:rFonts w:ascii="Calibri" w:eastAsia="Times New Roman" w:hAnsi="Calibri" w:cs="Times New Roman"/>
                <w:color w:val="000000"/>
                <w:sz w:val="22"/>
                <w:szCs w:val="22"/>
                <w:lang w:eastAsia="en-GB"/>
              </w:rPr>
            </w:pPr>
            <w:r w:rsidRPr="00557C0E">
              <w:rPr>
                <w:rFonts w:ascii="Calibri" w:eastAsia="Times New Roman" w:hAnsi="Calibri" w:cs="Times New Roman"/>
                <w:color w:val="000000"/>
                <w:sz w:val="22"/>
                <w:szCs w:val="22"/>
                <w:lang w:eastAsia="en-GB"/>
              </w:rPr>
              <w:t>Line H</w:t>
            </w:r>
          </w:p>
        </w:tc>
        <w:tc>
          <w:tcPr>
            <w:tcW w:w="1381" w:type="dxa"/>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40ft Reefer</w:t>
            </w:r>
          </w:p>
        </w:tc>
        <w:tc>
          <w:tcPr>
            <w:tcW w:w="2088" w:type="dxa"/>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Melb to Singapore</w:t>
            </w:r>
          </w:p>
        </w:tc>
        <w:tc>
          <w:tcPr>
            <w:tcW w:w="1379" w:type="dxa"/>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$4,533</w:t>
            </w:r>
          </w:p>
        </w:tc>
        <w:tc>
          <w:tcPr>
            <w:tcW w:w="1386" w:type="dxa"/>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Pr>
                <w:rFonts w:ascii="Calibri" w:eastAsia="Times New Roman" w:hAnsi="Calibri" w:cs="Times New Roman"/>
                <w:color w:val="000000"/>
                <w:sz w:val="22"/>
                <w:szCs w:val="22"/>
                <w:lang w:eastAsia="en-GB"/>
              </w:rPr>
              <w:t>$4,379</w:t>
            </w:r>
          </w:p>
        </w:tc>
        <w:tc>
          <w:tcPr>
            <w:tcW w:w="2009" w:type="dxa"/>
          </w:tcPr>
          <w:p w:rsidR="003925FA" w:rsidRDefault="001D1810"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Frozen Veg</w:t>
            </w:r>
          </w:p>
        </w:tc>
      </w:tr>
      <w:tr w:rsidR="001D1810" w:rsidRPr="00557C0E" w:rsidTr="0057495B">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602" w:type="dxa"/>
            <w:tcBorders>
              <w:bottom w:val="single" w:sz="4" w:space="0" w:color="A6A6A6" w:themeColor="background1" w:themeShade="A6"/>
            </w:tcBorders>
          </w:tcPr>
          <w:p w:rsidR="001D1810" w:rsidRPr="00557C0E" w:rsidRDefault="001D1810" w:rsidP="00D75D2B">
            <w:pPr>
              <w:spacing w:beforeLines="60" w:before="144" w:afterLines="60" w:after="144"/>
              <w:jc w:val="center"/>
              <w:rPr>
                <w:rFonts w:ascii="Calibri" w:eastAsia="Times New Roman" w:hAnsi="Calibri" w:cs="Times New Roman"/>
                <w:color w:val="000000"/>
                <w:sz w:val="22"/>
                <w:szCs w:val="22"/>
                <w:lang w:eastAsia="en-GB"/>
              </w:rPr>
            </w:pPr>
            <w:r w:rsidRPr="00557C0E">
              <w:rPr>
                <w:rFonts w:ascii="Calibri" w:eastAsia="Times New Roman" w:hAnsi="Calibri" w:cs="Times New Roman"/>
                <w:color w:val="000000"/>
                <w:sz w:val="22"/>
                <w:szCs w:val="22"/>
                <w:lang w:eastAsia="en-GB"/>
              </w:rPr>
              <w:t>Line C</w:t>
            </w:r>
          </w:p>
        </w:tc>
        <w:tc>
          <w:tcPr>
            <w:tcW w:w="1381" w:type="dxa"/>
            <w:tcBorders>
              <w:bottom w:val="single" w:sz="4" w:space="0" w:color="A6A6A6" w:themeColor="background1" w:themeShade="A6"/>
            </w:tcBorders>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40ft Reefer</w:t>
            </w:r>
          </w:p>
        </w:tc>
        <w:tc>
          <w:tcPr>
            <w:tcW w:w="2088" w:type="dxa"/>
            <w:tcBorders>
              <w:bottom w:val="single" w:sz="4" w:space="0" w:color="A6A6A6" w:themeColor="background1" w:themeShade="A6"/>
            </w:tcBorders>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Melb to Singapore</w:t>
            </w:r>
          </w:p>
        </w:tc>
        <w:tc>
          <w:tcPr>
            <w:tcW w:w="1379" w:type="dxa"/>
            <w:tcBorders>
              <w:bottom w:val="single" w:sz="4" w:space="0" w:color="A6A6A6" w:themeColor="background1" w:themeShade="A6"/>
            </w:tcBorders>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w:t>
            </w:r>
            <w:r>
              <w:rPr>
                <w:rFonts w:ascii="Calibri" w:eastAsia="Times New Roman" w:hAnsi="Calibri" w:cs="Times New Roman"/>
                <w:color w:val="000000"/>
                <w:sz w:val="22"/>
                <w:szCs w:val="22"/>
                <w:lang w:eastAsia="en-GB"/>
              </w:rPr>
              <w:t>4,</w:t>
            </w:r>
            <w:r w:rsidRPr="00557C0E">
              <w:rPr>
                <w:rFonts w:ascii="Calibri" w:eastAsia="Times New Roman" w:hAnsi="Calibri" w:cs="Times New Roman"/>
                <w:color w:val="000000"/>
                <w:sz w:val="22"/>
                <w:szCs w:val="22"/>
                <w:lang w:eastAsia="en-GB"/>
              </w:rPr>
              <w:t>149</w:t>
            </w:r>
          </w:p>
        </w:tc>
        <w:tc>
          <w:tcPr>
            <w:tcW w:w="1386" w:type="dxa"/>
            <w:tcBorders>
              <w:bottom w:val="single" w:sz="4" w:space="0" w:color="A6A6A6" w:themeColor="background1" w:themeShade="A6"/>
            </w:tcBorders>
          </w:tcPr>
          <w:p w:rsidR="003925FA" w:rsidRDefault="001D1810"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Pr>
                <w:rFonts w:ascii="Calibri" w:eastAsia="Times New Roman" w:hAnsi="Calibri" w:cs="Times New Roman"/>
                <w:color w:val="000000"/>
                <w:sz w:val="22"/>
                <w:szCs w:val="22"/>
                <w:lang w:eastAsia="en-GB"/>
              </w:rPr>
              <w:t>$4,025</w:t>
            </w:r>
          </w:p>
        </w:tc>
        <w:tc>
          <w:tcPr>
            <w:tcW w:w="2009" w:type="dxa"/>
            <w:tcBorders>
              <w:bottom w:val="single" w:sz="4" w:space="0" w:color="A6A6A6" w:themeColor="background1" w:themeShade="A6"/>
            </w:tcBorders>
          </w:tcPr>
          <w:p w:rsidR="003925FA" w:rsidRDefault="001D1810" w:rsidP="00D75D2B">
            <w:pPr>
              <w:keepNext/>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557C0E">
              <w:rPr>
                <w:rFonts w:ascii="Calibri" w:eastAsia="Times New Roman" w:hAnsi="Calibri" w:cs="Times New Roman"/>
                <w:color w:val="000000"/>
                <w:sz w:val="22"/>
                <w:szCs w:val="22"/>
                <w:lang w:eastAsia="en-GB"/>
              </w:rPr>
              <w:t>Chilled food</w:t>
            </w:r>
          </w:p>
        </w:tc>
      </w:tr>
      <w:tr w:rsidR="001D1810" w:rsidRPr="00557C0E" w:rsidTr="0057495B">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9845" w:type="dxa"/>
            <w:gridSpan w:val="6"/>
            <w:tcBorders>
              <w:left w:val="nil"/>
              <w:bottom w:val="nil"/>
              <w:right w:val="nil"/>
            </w:tcBorders>
            <w:shd w:val="clear" w:color="auto" w:fill="auto"/>
          </w:tcPr>
          <w:p w:rsidR="001D1810" w:rsidRPr="00195889" w:rsidRDefault="001D1810" w:rsidP="00D75D2B">
            <w:pPr>
              <w:keepNext/>
              <w:spacing w:beforeLines="60" w:before="144" w:afterLines="60" w:after="144"/>
              <w:jc w:val="left"/>
              <w:rPr>
                <w:rFonts w:ascii="Calibri" w:eastAsia="Times New Roman" w:hAnsi="Calibri" w:cs="Times New Roman"/>
                <w:i/>
                <w:color w:val="000000"/>
                <w:sz w:val="22"/>
                <w:szCs w:val="22"/>
                <w:lang w:eastAsia="en-GB"/>
              </w:rPr>
            </w:pPr>
            <w:r w:rsidRPr="00195889">
              <w:rPr>
                <w:rFonts w:ascii="Calibri" w:eastAsia="Times New Roman" w:hAnsi="Calibri" w:cs="Times New Roman"/>
                <w:i/>
                <w:color w:val="000000"/>
                <w:sz w:val="22"/>
                <w:szCs w:val="22"/>
                <w:lang w:eastAsia="en-GB"/>
              </w:rPr>
              <w:t>* $USD1 = $AUD0.97</w:t>
            </w:r>
          </w:p>
        </w:tc>
      </w:tr>
    </w:tbl>
    <w:p w:rsidR="001D1810" w:rsidRDefault="001D1810" w:rsidP="001D1810">
      <w:pPr>
        <w:pStyle w:val="Caption"/>
      </w:pPr>
      <w:bookmarkStart w:id="190" w:name="_Ref358720144"/>
      <w:r>
        <w:t>Table13</w:t>
      </w:r>
      <w:bookmarkEnd w:id="190"/>
      <w:r>
        <w:t>: Sample</w:t>
      </w:r>
      <w:r w:rsidR="006C63E9">
        <w:t xml:space="preserve"> International</w:t>
      </w:r>
      <w:r>
        <w:t xml:space="preserve"> L</w:t>
      </w:r>
      <w:r w:rsidRPr="00464A36">
        <w:t xml:space="preserve">iner Shipping </w:t>
      </w:r>
      <w:r>
        <w:t>Rates</w:t>
      </w:r>
    </w:p>
    <w:p w:rsidR="001D1810" w:rsidRDefault="001D1810" w:rsidP="001D1810">
      <w:pPr>
        <w:ind w:right="-64"/>
        <w:jc w:val="left"/>
      </w:pPr>
    </w:p>
    <w:p w:rsidR="001D1810" w:rsidRDefault="001D1810" w:rsidP="001D1810">
      <w:pPr>
        <w:pStyle w:val="Heading2"/>
        <w:numPr>
          <w:ilvl w:val="0"/>
          <w:numId w:val="8"/>
        </w:numPr>
        <w:spacing w:before="400" w:after="120"/>
        <w:ind w:left="851" w:hanging="851"/>
        <w:sectPr w:rsidR="001D1810" w:rsidSect="00FE1136">
          <w:pgSz w:w="11907" w:h="16839" w:code="9"/>
          <w:pgMar w:top="1985" w:right="1418" w:bottom="1134" w:left="1418" w:header="567" w:footer="543" w:gutter="0"/>
          <w:cols w:space="720"/>
          <w:docGrid w:linePitch="360"/>
        </w:sectPr>
      </w:pPr>
      <w:bookmarkStart w:id="191" w:name="_Toc356482587"/>
      <w:bookmarkStart w:id="192" w:name="_Toc356483225"/>
      <w:bookmarkStart w:id="193" w:name="_Toc356483864"/>
      <w:bookmarkStart w:id="194" w:name="_Toc356482620"/>
      <w:bookmarkStart w:id="195" w:name="_Toc356483258"/>
      <w:bookmarkStart w:id="196" w:name="_Toc356483897"/>
      <w:bookmarkStart w:id="197" w:name="_Toc356482622"/>
      <w:bookmarkStart w:id="198" w:name="_Toc356483260"/>
      <w:bookmarkStart w:id="199" w:name="_Toc356483899"/>
      <w:bookmarkStart w:id="200" w:name="_Toc357761431"/>
      <w:bookmarkStart w:id="201" w:name="_Toc358228805"/>
      <w:bookmarkStart w:id="202" w:name="_Toc358361302"/>
      <w:bookmarkEnd w:id="191"/>
      <w:bookmarkEnd w:id="192"/>
      <w:bookmarkEnd w:id="193"/>
      <w:bookmarkEnd w:id="194"/>
      <w:bookmarkEnd w:id="195"/>
      <w:bookmarkEnd w:id="196"/>
      <w:bookmarkEnd w:id="197"/>
      <w:bookmarkEnd w:id="198"/>
      <w:bookmarkEnd w:id="199"/>
    </w:p>
    <w:p w:rsidR="001D1810" w:rsidRPr="008F7376" w:rsidRDefault="001D1810" w:rsidP="009A1986">
      <w:pPr>
        <w:pStyle w:val="Heading1"/>
      </w:pPr>
      <w:bookmarkStart w:id="203" w:name="_Toc364154093"/>
      <w:bookmarkStart w:id="204" w:name="_Toc367700239"/>
      <w:r>
        <w:lastRenderedPageBreak/>
        <w:t>P</w:t>
      </w:r>
      <w:r w:rsidRPr="008F7376">
        <w:t>orts</w:t>
      </w:r>
      <w:bookmarkEnd w:id="200"/>
      <w:bookmarkEnd w:id="201"/>
      <w:bookmarkEnd w:id="202"/>
      <w:bookmarkEnd w:id="203"/>
      <w:bookmarkEnd w:id="204"/>
    </w:p>
    <w:p w:rsidR="001D1810" w:rsidRDefault="001D1810" w:rsidP="001D1810">
      <w:pPr>
        <w:tabs>
          <w:tab w:val="left" w:pos="0"/>
        </w:tabs>
        <w:ind w:right="-64"/>
      </w:pPr>
      <w:r>
        <w:t>Each of the Bass Strait shipping operators uses their own terminals in Tasmania and in Melbourne.  This chapter further discusses the port and terminal operations of each of the operators and identifies constraints that can influence the operation of the freight market.</w:t>
      </w:r>
    </w:p>
    <w:p w:rsidR="001D1810" w:rsidRDefault="001D1810" w:rsidP="0040197A">
      <w:pPr>
        <w:pStyle w:val="Heading2"/>
      </w:pPr>
      <w:bookmarkStart w:id="205" w:name="_Toc364154094"/>
      <w:bookmarkStart w:id="206" w:name="_Toc367700240"/>
      <w:r>
        <w:t>Terminal Features</w:t>
      </w:r>
      <w:bookmarkEnd w:id="205"/>
      <w:bookmarkEnd w:id="206"/>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1895"/>
        <w:gridCol w:w="7144"/>
      </w:tblGrid>
      <w:tr w:rsidR="001D1810" w:rsidRPr="00D75FE8" w:rsidTr="00AF6026">
        <w:trPr>
          <w:cnfStyle w:val="000000010000" w:firstRow="0" w:lastRow="0" w:firstColumn="0" w:lastColumn="0" w:oddVBand="0" w:evenVBand="0" w:oddHBand="0" w:evenHBand="1" w:firstRowFirstColumn="0" w:firstRowLastColumn="0" w:lastRowFirstColumn="0" w:lastRowLastColumn="0"/>
          <w:trHeight w:val="435"/>
          <w:tblHeader/>
        </w:trPr>
        <w:tc>
          <w:tcPr>
            <w:tcW w:w="1895" w:type="dxa"/>
            <w:shd w:val="clear" w:color="auto" w:fill="EFF0EF" w:themeFill="accent4"/>
            <w:vAlign w:val="center"/>
          </w:tcPr>
          <w:p w:rsidR="001D1810" w:rsidRPr="00F91EAD" w:rsidRDefault="001D1810" w:rsidP="0057495B">
            <w:pPr>
              <w:pStyle w:val="ListParagraph"/>
              <w:spacing w:before="0" w:after="0"/>
              <w:ind w:left="0" w:right="-62"/>
              <w:jc w:val="center"/>
              <w:rPr>
                <w:b/>
              </w:rPr>
            </w:pPr>
            <w:r w:rsidRPr="00F91EAD">
              <w:rPr>
                <w:b/>
              </w:rPr>
              <w:t>Observation</w:t>
            </w:r>
          </w:p>
        </w:tc>
        <w:tc>
          <w:tcPr>
            <w:tcW w:w="7144" w:type="dxa"/>
            <w:shd w:val="clear" w:color="auto" w:fill="auto"/>
            <w:vAlign w:val="center"/>
          </w:tcPr>
          <w:p w:rsidR="001D1810" w:rsidRPr="00F91EAD" w:rsidRDefault="001D1810" w:rsidP="0057495B">
            <w:pPr>
              <w:spacing w:before="0" w:after="0"/>
              <w:ind w:right="-62"/>
              <w:jc w:val="center"/>
              <w:rPr>
                <w:b/>
              </w:rPr>
            </w:pPr>
            <w:r w:rsidRPr="00F91EAD">
              <w:rPr>
                <w:b/>
              </w:rPr>
              <w:t>Comment</w:t>
            </w:r>
          </w:p>
        </w:tc>
      </w:tr>
      <w:tr w:rsidR="001D1810" w:rsidRPr="00D75FE8" w:rsidTr="0057495B">
        <w:tc>
          <w:tcPr>
            <w:tcW w:w="1895" w:type="dxa"/>
            <w:shd w:val="clear" w:color="auto" w:fill="EFF0EF" w:themeFill="accent4"/>
          </w:tcPr>
          <w:p w:rsidR="001D1810" w:rsidRPr="003078C9" w:rsidRDefault="001D1810" w:rsidP="0057495B">
            <w:pPr>
              <w:pStyle w:val="Tables"/>
              <w:rPr>
                <w:b/>
              </w:rPr>
            </w:pPr>
            <w:r w:rsidRPr="00767A8D">
              <w:rPr>
                <w:b/>
              </w:rPr>
              <w:t>TT</w:t>
            </w:r>
            <w:r>
              <w:rPr>
                <w:b/>
              </w:rPr>
              <w:t>-</w:t>
            </w:r>
            <w:r w:rsidRPr="00767A8D">
              <w:rPr>
                <w:b/>
              </w:rPr>
              <w:t>Line</w:t>
            </w:r>
          </w:p>
        </w:tc>
        <w:tc>
          <w:tcPr>
            <w:tcW w:w="7144" w:type="dxa"/>
            <w:shd w:val="clear" w:color="auto" w:fill="auto"/>
          </w:tcPr>
          <w:p w:rsidR="001D1810" w:rsidRDefault="001D1810" w:rsidP="0057495B">
            <w:pPr>
              <w:pStyle w:val="Tables"/>
              <w:ind w:left="90"/>
            </w:pPr>
            <w:r>
              <w:t>O</w:t>
            </w:r>
            <w:r w:rsidRPr="008558B4">
              <w:t>perates between the Port of Devonport and Station Pier in Melbourne</w:t>
            </w:r>
            <w:r>
              <w:t>.</w:t>
            </w:r>
            <w:r w:rsidRPr="008558B4">
              <w:t xml:space="preserve"> </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Pr>
        <w:tc>
          <w:tcPr>
            <w:tcW w:w="1895" w:type="dxa"/>
            <w:shd w:val="clear" w:color="auto" w:fill="EFF0EF" w:themeFill="accent4"/>
          </w:tcPr>
          <w:p w:rsidR="001D1810" w:rsidRPr="003078C9" w:rsidRDefault="001D1810" w:rsidP="0057495B">
            <w:pPr>
              <w:pStyle w:val="Tables"/>
              <w:rPr>
                <w:rFonts w:eastAsiaTheme="majorEastAsia"/>
                <w:b/>
                <w:bCs/>
                <w:color w:val="7AB800" w:themeColor="accent1"/>
              </w:rPr>
            </w:pPr>
            <w:r>
              <w:rPr>
                <w:b/>
              </w:rPr>
              <w:t>Melbourne – Station Pier</w:t>
            </w:r>
            <w:r w:rsidRPr="003078C9">
              <w:rPr>
                <w:b/>
              </w:rPr>
              <w:t xml:space="preserve"> </w:t>
            </w:r>
          </w:p>
        </w:tc>
        <w:tc>
          <w:tcPr>
            <w:tcW w:w="7144" w:type="dxa"/>
            <w:shd w:val="clear" w:color="auto" w:fill="auto"/>
          </w:tcPr>
          <w:p w:rsidR="001D1810" w:rsidRDefault="001D1810" w:rsidP="00AF6026">
            <w:pPr>
              <w:pStyle w:val="Bullet1"/>
              <w:numPr>
                <w:ilvl w:val="0"/>
                <w:numId w:val="0"/>
              </w:numPr>
              <w:rPr>
                <w:rFonts w:eastAsiaTheme="majorEastAsia"/>
                <w:b/>
                <w:bCs/>
                <w:color w:val="7AB800" w:themeColor="accent1"/>
              </w:rPr>
            </w:pPr>
            <w:r w:rsidRPr="006C4E82">
              <w:t>TT</w:t>
            </w:r>
            <w:r>
              <w:t>-</w:t>
            </w:r>
            <w:r w:rsidRPr="006C4E82">
              <w:t>Line leases the wharf from the Port of Melbourne and pay for the cost of maintaining the wharf and terminal</w:t>
            </w:r>
            <w:r>
              <w:t xml:space="preserve">. </w:t>
            </w:r>
          </w:p>
          <w:p w:rsidR="001D1810" w:rsidRDefault="001D1810" w:rsidP="00AF6026">
            <w:pPr>
              <w:pStyle w:val="Bullet1"/>
              <w:numPr>
                <w:ilvl w:val="0"/>
                <w:numId w:val="0"/>
              </w:numPr>
              <w:rPr>
                <w:rFonts w:eastAsiaTheme="majorEastAsia"/>
                <w:b/>
                <w:bCs/>
                <w:color w:val="7AB800" w:themeColor="accent1"/>
              </w:rPr>
            </w:pPr>
            <w:r>
              <w:t>C</w:t>
            </w:r>
            <w:r w:rsidRPr="006C4E82">
              <w:t xml:space="preserve">ruise </w:t>
            </w:r>
            <w:r>
              <w:t>vessel</w:t>
            </w:r>
            <w:r w:rsidRPr="006C4E82">
              <w:t xml:space="preserve">s calling at Melbourne also use this terminal. When this happens, there is considerable disruption to the loading and unloading of freight vehicles from the </w:t>
            </w:r>
            <w:r>
              <w:t xml:space="preserve">TT-Line ferries </w:t>
            </w:r>
            <w:r w:rsidRPr="006C4E82">
              <w:t xml:space="preserve">as these cruise </w:t>
            </w:r>
            <w:r>
              <w:t>vessel</w:t>
            </w:r>
            <w:r w:rsidRPr="006C4E82">
              <w:t xml:space="preserve">s and </w:t>
            </w:r>
            <w:r>
              <w:t xml:space="preserve">their passengers take priority over the unloading of freight from TT-Line which can cause disruption during peak times </w:t>
            </w:r>
            <w:r w:rsidRPr="00316AB6">
              <w:t xml:space="preserve">and </w:t>
            </w:r>
            <w:r>
              <w:t>is inefficient</w:t>
            </w:r>
            <w:r w:rsidRPr="00316AB6">
              <w:t>.</w:t>
            </w:r>
          </w:p>
          <w:p w:rsidR="001D1810" w:rsidRDefault="001D1810" w:rsidP="00AF6026">
            <w:pPr>
              <w:pStyle w:val="Bullet1"/>
              <w:numPr>
                <w:ilvl w:val="0"/>
                <w:numId w:val="0"/>
              </w:numPr>
              <w:rPr>
                <w:rFonts w:eastAsiaTheme="majorEastAsia"/>
                <w:b/>
                <w:bCs/>
                <w:color w:val="7AB800" w:themeColor="accent1"/>
              </w:rPr>
            </w:pPr>
            <w:r w:rsidRPr="006C4E82">
              <w:t xml:space="preserve">During off-season or non-peak periods, </w:t>
            </w:r>
            <w:r>
              <w:t>Aurecon</w:t>
            </w:r>
            <w:r w:rsidRPr="006C4E82">
              <w:t xml:space="preserve"> are advised that the area at the terminal at Melbourne is about adequate. However, during peak periods, there is inadequate space for marshalling of vehicular traffic</w:t>
            </w:r>
            <w:r>
              <w:t>.</w:t>
            </w:r>
            <w:r w:rsidRPr="006C4E82">
              <w:t xml:space="preserve"> </w:t>
            </w:r>
          </w:p>
          <w:p w:rsidR="001D1810" w:rsidRDefault="001D1810" w:rsidP="00AF6026">
            <w:pPr>
              <w:pStyle w:val="Bullet1"/>
              <w:numPr>
                <w:ilvl w:val="0"/>
                <w:numId w:val="0"/>
              </w:numPr>
              <w:rPr>
                <w:rFonts w:eastAsiaTheme="majorEastAsia"/>
                <w:b/>
                <w:bCs/>
                <w:color w:val="7AB800" w:themeColor="accent1"/>
              </w:rPr>
            </w:pPr>
            <w:r w:rsidRPr="006C4E82">
              <w:t>There is an adjoining area where freight trucks and trailers are marshalled pr</w:t>
            </w:r>
            <w:r>
              <w:t xml:space="preserve">ior to driving on to TT-Line’s ferries.  </w:t>
            </w:r>
            <w:r w:rsidRPr="006C4E82">
              <w:t xml:space="preserve">Additional structures have been built on the wharf that allows trucks and cars to be driven onto and off the </w:t>
            </w:r>
            <w:r>
              <w:t>ferries</w:t>
            </w:r>
            <w:r w:rsidRPr="006C4E82">
              <w:t xml:space="preserve"> keeping to one direction. This means, if the vehicles enter the </w:t>
            </w:r>
            <w:r>
              <w:t>ferries</w:t>
            </w:r>
            <w:r w:rsidRPr="006C4E82">
              <w:t xml:space="preserve"> from the stern at one port they exit the </w:t>
            </w:r>
            <w:r>
              <w:t>vessel</w:t>
            </w:r>
            <w:r w:rsidRPr="006C4E82">
              <w:t xml:space="preserve"> from the bow at the other port. This allows for quick unloading of vehicles and the reloading of the next set of vehicles.</w:t>
            </w:r>
          </w:p>
        </w:tc>
      </w:tr>
      <w:tr w:rsidR="001D1810" w:rsidRPr="00D75FE8" w:rsidTr="0057495B">
        <w:tc>
          <w:tcPr>
            <w:tcW w:w="1895" w:type="dxa"/>
            <w:shd w:val="clear" w:color="auto" w:fill="EFF0EF" w:themeFill="accent4"/>
          </w:tcPr>
          <w:p w:rsidR="001D1810" w:rsidRPr="003078C9" w:rsidRDefault="001D1810" w:rsidP="0057495B">
            <w:pPr>
              <w:pStyle w:val="Tables"/>
              <w:rPr>
                <w:rFonts w:eastAsiaTheme="majorEastAsia"/>
                <w:b/>
                <w:bCs/>
                <w:color w:val="7AB800" w:themeColor="accent1"/>
              </w:rPr>
            </w:pPr>
            <w:r w:rsidRPr="003078C9">
              <w:rPr>
                <w:b/>
              </w:rPr>
              <w:t>Devonport</w:t>
            </w:r>
          </w:p>
        </w:tc>
        <w:tc>
          <w:tcPr>
            <w:tcW w:w="7144" w:type="dxa"/>
            <w:shd w:val="clear" w:color="auto" w:fill="auto"/>
          </w:tcPr>
          <w:p w:rsidR="001D1810" w:rsidRDefault="001D1810" w:rsidP="00AF6026">
            <w:pPr>
              <w:pStyle w:val="Bullet1"/>
              <w:numPr>
                <w:ilvl w:val="0"/>
                <w:numId w:val="0"/>
              </w:numPr>
              <w:rPr>
                <w:rFonts w:eastAsiaTheme="majorEastAsia"/>
                <w:b/>
                <w:bCs/>
                <w:color w:val="7AB800" w:themeColor="accent1"/>
              </w:rPr>
            </w:pPr>
            <w:r>
              <w:t xml:space="preserve">The freight terminal at Devonport is adjacent to, but separate from, the passenger terminal. The layout and arrangement for vehicular traffic is good and they have a good system of receiving incoming trucks and trailers while delivering outgoing trailers and other vehicles. </w:t>
            </w:r>
          </w:p>
          <w:p w:rsidR="001D1810" w:rsidRDefault="001D1810" w:rsidP="00AF6026">
            <w:pPr>
              <w:pStyle w:val="Bullet1"/>
              <w:numPr>
                <w:ilvl w:val="0"/>
                <w:numId w:val="0"/>
              </w:numPr>
              <w:rPr>
                <w:rFonts w:eastAsiaTheme="majorEastAsia"/>
                <w:b/>
                <w:bCs/>
                <w:color w:val="7AB800" w:themeColor="accent1"/>
              </w:rPr>
            </w:pPr>
            <w:r>
              <w:t>The terminal has the adjoining structures for vehicle access and egress similar to Melbourne, which enables the vehicular traffic to be driven on and off the vessel in one direction. This complements the system in Melbourne and makes for a very efficient seaboard vehicular operation.</w:t>
            </w:r>
          </w:p>
          <w:p w:rsidR="001D1810" w:rsidRDefault="001D1810" w:rsidP="00AF6026">
            <w:pPr>
              <w:pStyle w:val="Bullet1"/>
              <w:numPr>
                <w:ilvl w:val="0"/>
                <w:numId w:val="0"/>
              </w:numPr>
              <w:rPr>
                <w:rFonts w:eastAsiaTheme="majorEastAsia"/>
                <w:b/>
                <w:bCs/>
                <w:color w:val="7AB800" w:themeColor="accent1"/>
              </w:rPr>
            </w:pPr>
            <w:r>
              <w:t>While the terminal operation is very efficient, it requires considerable load planning and sequencing of trailers, containers, cars, caravans and other types of non-standardised freight that are a feature of the trade.</w:t>
            </w:r>
          </w:p>
          <w:p w:rsidR="001D1810" w:rsidRDefault="001D1810" w:rsidP="00AF6026">
            <w:pPr>
              <w:pStyle w:val="Bullet1"/>
              <w:numPr>
                <w:ilvl w:val="0"/>
                <w:numId w:val="0"/>
              </w:numPr>
              <w:rPr>
                <w:rFonts w:eastAsiaTheme="majorEastAsia"/>
                <w:b/>
                <w:bCs/>
                <w:color w:val="7AB800" w:themeColor="accent1"/>
              </w:rPr>
            </w:pPr>
            <w:r>
              <w:t>TT-Line terminal space at Devonport is adequate for present and future needs.</w:t>
            </w:r>
          </w:p>
        </w:tc>
      </w:tr>
    </w:tbl>
    <w:p w:rsidR="001D1810" w:rsidRDefault="001D1810" w:rsidP="001D1810"/>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1809"/>
        <w:gridCol w:w="7230"/>
      </w:tblGrid>
      <w:tr w:rsidR="001D1810" w:rsidRPr="00D75FE8" w:rsidTr="008B1A70">
        <w:trPr>
          <w:trHeight w:val="338"/>
        </w:trPr>
        <w:tc>
          <w:tcPr>
            <w:tcW w:w="1809" w:type="dxa"/>
            <w:shd w:val="clear" w:color="auto" w:fill="EFF0EF" w:themeFill="accent4"/>
            <w:vAlign w:val="center"/>
          </w:tcPr>
          <w:p w:rsidR="001D1810" w:rsidRPr="00F91EAD" w:rsidRDefault="001D1810" w:rsidP="0057495B">
            <w:pPr>
              <w:pStyle w:val="ListParagraph"/>
              <w:spacing w:before="0" w:after="0"/>
              <w:ind w:left="0" w:right="-62"/>
              <w:jc w:val="center"/>
              <w:rPr>
                <w:b/>
              </w:rPr>
            </w:pPr>
            <w:r w:rsidRPr="00F91EAD">
              <w:rPr>
                <w:b/>
              </w:rPr>
              <w:t>Observation</w:t>
            </w:r>
          </w:p>
        </w:tc>
        <w:tc>
          <w:tcPr>
            <w:tcW w:w="7230" w:type="dxa"/>
            <w:shd w:val="clear" w:color="auto" w:fill="auto"/>
            <w:vAlign w:val="center"/>
          </w:tcPr>
          <w:p w:rsidR="001D1810" w:rsidRPr="00F91EAD" w:rsidRDefault="001D1810" w:rsidP="0057495B">
            <w:pPr>
              <w:spacing w:before="0" w:after="0"/>
              <w:ind w:right="-62"/>
              <w:jc w:val="center"/>
              <w:rPr>
                <w:b/>
              </w:rPr>
            </w:pPr>
            <w:r w:rsidRPr="00F91EAD">
              <w:rPr>
                <w:b/>
              </w:rPr>
              <w:t>Comment</w:t>
            </w:r>
          </w:p>
        </w:tc>
      </w:tr>
      <w:tr w:rsidR="001D1810" w:rsidRPr="00D75FE8" w:rsidTr="008B1A70">
        <w:trPr>
          <w:cnfStyle w:val="000000010000" w:firstRow="0" w:lastRow="0" w:firstColumn="0" w:lastColumn="0" w:oddVBand="0" w:evenVBand="0" w:oddHBand="0" w:evenHBand="1" w:firstRowFirstColumn="0" w:firstRowLastColumn="0" w:lastRowFirstColumn="0" w:lastRowLastColumn="0"/>
          <w:trHeight w:val="416"/>
        </w:trPr>
        <w:tc>
          <w:tcPr>
            <w:tcW w:w="1809" w:type="dxa"/>
            <w:shd w:val="clear" w:color="auto" w:fill="EFF0EF" w:themeFill="accent4"/>
          </w:tcPr>
          <w:p w:rsidR="001D1810" w:rsidRPr="00767A8D" w:rsidRDefault="001D1810" w:rsidP="0057495B">
            <w:pPr>
              <w:pStyle w:val="Tables"/>
              <w:rPr>
                <w:b/>
              </w:rPr>
            </w:pPr>
            <w:r w:rsidRPr="00767A8D">
              <w:rPr>
                <w:b/>
              </w:rPr>
              <w:t>SeaRoad Shipping</w:t>
            </w:r>
          </w:p>
        </w:tc>
        <w:tc>
          <w:tcPr>
            <w:tcW w:w="7230" w:type="dxa"/>
            <w:shd w:val="clear" w:color="auto" w:fill="auto"/>
          </w:tcPr>
          <w:p w:rsidR="001D1810" w:rsidRDefault="001D1810" w:rsidP="008B1A70">
            <w:pPr>
              <w:pStyle w:val="Tables"/>
              <w:spacing w:after="0"/>
              <w:ind w:left="90"/>
              <w:rPr>
                <w:rFonts w:eastAsiaTheme="majorEastAsia"/>
                <w:b/>
                <w:bCs/>
                <w:color w:val="7AB800" w:themeColor="accent1"/>
              </w:rPr>
            </w:pPr>
            <w:r>
              <w:t>SeaRoad Shipping operates between the Port of Devonport and Webb Dock East No 2 at the Port of Melbourne.</w:t>
            </w:r>
          </w:p>
        </w:tc>
      </w:tr>
      <w:tr w:rsidR="001D1810" w:rsidRPr="00D75FE8" w:rsidTr="008B1A70">
        <w:tc>
          <w:tcPr>
            <w:tcW w:w="1809" w:type="dxa"/>
            <w:shd w:val="clear" w:color="auto" w:fill="EFF0EF" w:themeFill="accent4"/>
          </w:tcPr>
          <w:p w:rsidR="001D1810" w:rsidRPr="003078C9" w:rsidRDefault="001D1810" w:rsidP="0057495B">
            <w:pPr>
              <w:pStyle w:val="Tables"/>
              <w:rPr>
                <w:rFonts w:eastAsiaTheme="majorEastAsia"/>
                <w:b/>
                <w:bCs/>
                <w:color w:val="7AB800" w:themeColor="accent1"/>
              </w:rPr>
            </w:pPr>
            <w:r>
              <w:rPr>
                <w:b/>
              </w:rPr>
              <w:t>Melbourne  Webb Dock</w:t>
            </w:r>
          </w:p>
        </w:tc>
        <w:tc>
          <w:tcPr>
            <w:tcW w:w="7230" w:type="dxa"/>
            <w:shd w:val="clear" w:color="auto" w:fill="auto"/>
          </w:tcPr>
          <w:p w:rsidR="001D1810" w:rsidRDefault="001D1810" w:rsidP="00AF6026">
            <w:pPr>
              <w:pStyle w:val="Bullet1"/>
              <w:numPr>
                <w:ilvl w:val="0"/>
                <w:numId w:val="0"/>
              </w:numPr>
              <w:rPr>
                <w:rFonts w:eastAsiaTheme="majorEastAsia"/>
                <w:b/>
                <w:bCs/>
                <w:color w:val="7AB800" w:themeColor="accent1"/>
              </w:rPr>
            </w:pPr>
            <w:r>
              <w:t xml:space="preserve">Webb Dock terminal is well laid out for the receival of containers, trailers and other break-bulk freight. During normal periods, the terminal area is adequate; however during peak periods, the available terminal area is inadequate for the volume of traffic. </w:t>
            </w:r>
          </w:p>
          <w:p w:rsidR="001D1810" w:rsidRDefault="001D1810" w:rsidP="00AF6026">
            <w:pPr>
              <w:pStyle w:val="Bullet1"/>
              <w:numPr>
                <w:ilvl w:val="0"/>
                <w:numId w:val="0"/>
              </w:numPr>
              <w:rPr>
                <w:rFonts w:eastAsiaTheme="majorEastAsia"/>
                <w:b/>
                <w:bCs/>
                <w:color w:val="7AB800" w:themeColor="accent1"/>
              </w:rPr>
            </w:pPr>
            <w:r>
              <w:t>The terminal has powered sockets for the refrigerated containers and has areas set aside for the storage and handling of dangerous goods.</w:t>
            </w:r>
          </w:p>
          <w:p w:rsidR="001D1810" w:rsidRDefault="001D1810" w:rsidP="00AF6026">
            <w:pPr>
              <w:pStyle w:val="Bullet1"/>
              <w:numPr>
                <w:ilvl w:val="0"/>
                <w:numId w:val="0"/>
              </w:numPr>
              <w:rPr>
                <w:rFonts w:eastAsiaTheme="majorEastAsia"/>
                <w:b/>
                <w:bCs/>
                <w:color w:val="7AB800" w:themeColor="accent1"/>
              </w:rPr>
            </w:pPr>
            <w:r>
              <w:t xml:space="preserve">Consolidation of containers onto cassettes and unloading from cassettes are done in the terminal yard. The usual routine is that incoming freight are unloaded from the vessel within the first 2 or 3 hours after the vessel arrives. Loading of outgoing freight takes place from about 1 pm. </w:t>
            </w:r>
          </w:p>
          <w:p w:rsidR="001D1810" w:rsidRDefault="001D1810" w:rsidP="00AF6026">
            <w:pPr>
              <w:pStyle w:val="Bullet1"/>
              <w:numPr>
                <w:ilvl w:val="0"/>
                <w:numId w:val="0"/>
              </w:numPr>
              <w:rPr>
                <w:rFonts w:eastAsiaTheme="majorEastAsia"/>
                <w:b/>
                <w:bCs/>
                <w:color w:val="7AB800" w:themeColor="accent1"/>
              </w:rPr>
            </w:pPr>
            <w:r>
              <w:t xml:space="preserve">Incoming freight on trailers can be cleared from the terminal within an hour of arrival. </w:t>
            </w:r>
          </w:p>
          <w:p w:rsidR="001D1810" w:rsidRDefault="001D1810" w:rsidP="00AF6026">
            <w:pPr>
              <w:pStyle w:val="Bullet1"/>
              <w:numPr>
                <w:ilvl w:val="0"/>
                <w:numId w:val="0"/>
              </w:numPr>
              <w:rPr>
                <w:rFonts w:eastAsiaTheme="majorEastAsia"/>
                <w:b/>
                <w:bCs/>
                <w:color w:val="7AB800" w:themeColor="accent1"/>
              </w:rPr>
            </w:pPr>
            <w:r>
              <w:t>Freight on trailers and other break bulk freight are accepted for shipment on the same day up to about 3:30pm and seems to be a feature of the trade.</w:t>
            </w:r>
          </w:p>
          <w:p w:rsidR="001D1810" w:rsidRDefault="001D1810" w:rsidP="008B1A70">
            <w:pPr>
              <w:pStyle w:val="Bullet1"/>
              <w:numPr>
                <w:ilvl w:val="0"/>
                <w:numId w:val="0"/>
              </w:numPr>
              <w:spacing w:after="120"/>
              <w:rPr>
                <w:rFonts w:eastAsiaTheme="majorEastAsia"/>
                <w:b/>
                <w:bCs/>
                <w:color w:val="7AB800" w:themeColor="accent1"/>
              </w:rPr>
            </w:pPr>
            <w:r>
              <w:t xml:space="preserve">Webb Dock terminal is adequate during normal periods but inadequate for the volume of traffic during peak period.  </w:t>
            </w:r>
          </w:p>
        </w:tc>
      </w:tr>
      <w:tr w:rsidR="001D1810" w:rsidRPr="00D75FE8" w:rsidTr="008B1A70">
        <w:trPr>
          <w:cnfStyle w:val="000000010000" w:firstRow="0" w:lastRow="0" w:firstColumn="0" w:lastColumn="0" w:oddVBand="0" w:evenVBand="0" w:oddHBand="0" w:evenHBand="1" w:firstRowFirstColumn="0" w:firstRowLastColumn="0" w:lastRowFirstColumn="0" w:lastRowLastColumn="0"/>
          <w:trHeight w:val="260"/>
        </w:trPr>
        <w:tc>
          <w:tcPr>
            <w:tcW w:w="1809" w:type="dxa"/>
            <w:shd w:val="clear" w:color="auto" w:fill="EFF0EF" w:themeFill="accent4"/>
          </w:tcPr>
          <w:p w:rsidR="001D1810" w:rsidRPr="003078C9" w:rsidRDefault="001D1810" w:rsidP="0057495B">
            <w:pPr>
              <w:pStyle w:val="Tables"/>
              <w:rPr>
                <w:rFonts w:eastAsiaTheme="majorEastAsia"/>
                <w:b/>
                <w:bCs/>
                <w:color w:val="7AB800" w:themeColor="accent1"/>
              </w:rPr>
            </w:pPr>
            <w:r w:rsidRPr="003078C9">
              <w:rPr>
                <w:b/>
              </w:rPr>
              <w:t>Devonport</w:t>
            </w:r>
          </w:p>
        </w:tc>
        <w:tc>
          <w:tcPr>
            <w:tcW w:w="7230" w:type="dxa"/>
            <w:shd w:val="clear" w:color="auto" w:fill="auto"/>
          </w:tcPr>
          <w:p w:rsidR="001D1810" w:rsidRDefault="001D1810" w:rsidP="00AF6026">
            <w:pPr>
              <w:pStyle w:val="Bullet1"/>
              <w:numPr>
                <w:ilvl w:val="0"/>
                <w:numId w:val="0"/>
              </w:numPr>
              <w:rPr>
                <w:rFonts w:eastAsiaTheme="majorEastAsia"/>
                <w:b/>
                <w:bCs/>
                <w:color w:val="7AB800" w:themeColor="accent1"/>
              </w:rPr>
            </w:pPr>
            <w:r>
              <w:t xml:space="preserve">SeaRoad Shipping </w:t>
            </w:r>
            <w:r w:rsidR="009C4A0F">
              <w:t xml:space="preserve">has </w:t>
            </w:r>
            <w:r>
              <w:t xml:space="preserve">an efficient logistics operation at their terminal. They have leased additional space next to their main terminal in which staging of freight occurs. This terminal area is about 4 to 5 hectares.  </w:t>
            </w:r>
          </w:p>
          <w:p w:rsidR="001D1810" w:rsidRDefault="001D1810" w:rsidP="00AF6026">
            <w:pPr>
              <w:pStyle w:val="Bullet1"/>
              <w:numPr>
                <w:ilvl w:val="0"/>
                <w:numId w:val="0"/>
              </w:numPr>
              <w:rPr>
                <w:rFonts w:eastAsiaTheme="majorEastAsia"/>
                <w:b/>
                <w:bCs/>
                <w:color w:val="7AB800" w:themeColor="accent1"/>
              </w:rPr>
            </w:pPr>
            <w:r>
              <w:t>The terminal has container forklifts besides cassettes and tractors by which freight is consolidated and/ or sorted and stored.</w:t>
            </w:r>
          </w:p>
          <w:p w:rsidR="001D1810" w:rsidRDefault="001D1810" w:rsidP="00AF6026">
            <w:pPr>
              <w:pStyle w:val="Bullet1"/>
              <w:numPr>
                <w:ilvl w:val="0"/>
                <w:numId w:val="0"/>
              </w:numPr>
              <w:rPr>
                <w:rFonts w:eastAsiaTheme="majorEastAsia"/>
                <w:b/>
                <w:bCs/>
                <w:color w:val="7AB800" w:themeColor="accent1"/>
              </w:rPr>
            </w:pPr>
            <w:r>
              <w:t xml:space="preserve">The stern / ramp end of their vessels berth very close to the bow end of the Spirit of Tasmania but there is no interference with unloading and loading logistics to their vessels. The vessel’s ramps land on a link-span to cater for the tide. </w:t>
            </w:r>
          </w:p>
          <w:p w:rsidR="001D1810" w:rsidRDefault="001D1810" w:rsidP="00AF6026">
            <w:pPr>
              <w:pStyle w:val="Bullet1"/>
              <w:numPr>
                <w:ilvl w:val="0"/>
                <w:numId w:val="0"/>
              </w:numPr>
              <w:rPr>
                <w:rFonts w:eastAsiaTheme="majorEastAsia"/>
                <w:b/>
                <w:bCs/>
                <w:color w:val="7AB800" w:themeColor="accent1"/>
              </w:rPr>
            </w:pPr>
            <w:r>
              <w:t xml:space="preserve">The vessels use an automated vacuum based mooring system so they do not need to use mooring lines to tie up the vessel which enables a quick berthing and departure. These automated mooring systems involve significant capital investment but reduce berthing and un-berthing time and helps keep port costs down. </w:t>
            </w:r>
          </w:p>
          <w:p w:rsidR="001D1810" w:rsidRDefault="001D1810" w:rsidP="00AF6026">
            <w:pPr>
              <w:pStyle w:val="Bullet1"/>
              <w:numPr>
                <w:ilvl w:val="0"/>
                <w:numId w:val="0"/>
              </w:numPr>
              <w:rPr>
                <w:rFonts w:eastAsiaTheme="majorEastAsia"/>
                <w:b/>
                <w:bCs/>
                <w:color w:val="7AB800" w:themeColor="accent1"/>
              </w:rPr>
            </w:pPr>
            <w:r>
              <w:t>There is a bonded warehouse and storage facility adjacent to their terminal. This is an efficient operation in that bonded freight (not yet customs cleared) are taken by tractor or trailers from the vessel to the bonded facility. This service is convenient for Tasmanian importers and links with SeaRoad Shipping’s tranship service in Melbourne, where they collect import containers from the International Liner services and move the same to Devonport for collection by importers.</w:t>
            </w:r>
          </w:p>
          <w:p w:rsidR="001D1810" w:rsidRDefault="001D1810" w:rsidP="008B1A70">
            <w:pPr>
              <w:pStyle w:val="Bullet1"/>
              <w:numPr>
                <w:ilvl w:val="0"/>
                <w:numId w:val="0"/>
              </w:numPr>
              <w:spacing w:before="0" w:after="0"/>
              <w:rPr>
                <w:rFonts w:eastAsiaTheme="majorEastAsia"/>
                <w:b/>
                <w:bCs/>
                <w:color w:val="7AB800" w:themeColor="accent1"/>
              </w:rPr>
            </w:pPr>
            <w:r>
              <w:t>The space available at the Devonport terminal is adequate for present and future needs</w:t>
            </w:r>
            <w:r w:rsidR="007222A4">
              <w:t>.</w:t>
            </w:r>
          </w:p>
        </w:tc>
      </w:tr>
    </w:tbl>
    <w:p w:rsidR="001D1810" w:rsidRDefault="001D1810" w:rsidP="001D1810"/>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1895"/>
        <w:gridCol w:w="7144"/>
      </w:tblGrid>
      <w:tr w:rsidR="001D1810" w:rsidRPr="00D75FE8" w:rsidTr="008B1A70">
        <w:trPr>
          <w:trHeight w:val="480"/>
        </w:trPr>
        <w:tc>
          <w:tcPr>
            <w:tcW w:w="1895" w:type="dxa"/>
            <w:shd w:val="clear" w:color="auto" w:fill="EFF0EF" w:themeFill="accent4"/>
            <w:vAlign w:val="center"/>
          </w:tcPr>
          <w:p w:rsidR="001D1810" w:rsidRPr="00F91EAD" w:rsidRDefault="001D1810" w:rsidP="0057495B">
            <w:pPr>
              <w:pStyle w:val="ListParagraph"/>
              <w:spacing w:before="0" w:after="0"/>
              <w:ind w:left="0" w:right="-62"/>
              <w:jc w:val="center"/>
              <w:rPr>
                <w:b/>
              </w:rPr>
            </w:pPr>
            <w:r w:rsidRPr="00F91EAD">
              <w:rPr>
                <w:b/>
              </w:rPr>
              <w:t>Observation</w:t>
            </w:r>
          </w:p>
        </w:tc>
        <w:tc>
          <w:tcPr>
            <w:tcW w:w="7144" w:type="dxa"/>
            <w:shd w:val="clear" w:color="auto" w:fill="auto"/>
            <w:vAlign w:val="center"/>
          </w:tcPr>
          <w:p w:rsidR="001D1810" w:rsidRPr="00F91EAD" w:rsidRDefault="001D1810" w:rsidP="0057495B">
            <w:pPr>
              <w:spacing w:before="0" w:after="0"/>
              <w:ind w:right="-62"/>
              <w:jc w:val="center"/>
              <w:rPr>
                <w:b/>
              </w:rPr>
            </w:pPr>
            <w:r w:rsidRPr="00F91EAD">
              <w:rPr>
                <w:b/>
              </w:rPr>
              <w:t>Comment</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Pr>
        <w:tc>
          <w:tcPr>
            <w:tcW w:w="1895" w:type="dxa"/>
            <w:shd w:val="clear" w:color="auto" w:fill="EFF0EF" w:themeFill="accent4"/>
          </w:tcPr>
          <w:p w:rsidR="001D1810" w:rsidRPr="00767A8D" w:rsidRDefault="001D1810" w:rsidP="0057495B">
            <w:pPr>
              <w:pStyle w:val="Tables"/>
              <w:rPr>
                <w:b/>
              </w:rPr>
            </w:pPr>
            <w:r w:rsidRPr="00767A8D">
              <w:rPr>
                <w:b/>
              </w:rPr>
              <w:t>Toll-ANL</w:t>
            </w:r>
          </w:p>
        </w:tc>
        <w:tc>
          <w:tcPr>
            <w:tcW w:w="7144" w:type="dxa"/>
            <w:shd w:val="clear" w:color="auto" w:fill="auto"/>
          </w:tcPr>
          <w:p w:rsidR="001D1810" w:rsidRDefault="001D1810" w:rsidP="0057495B">
            <w:pPr>
              <w:pStyle w:val="Tables"/>
              <w:ind w:left="90"/>
            </w:pPr>
            <w:r>
              <w:t>Toll-ANL operates between the Port of Burnie and Webb Dock East No 1 at the Port of Melbourne.</w:t>
            </w:r>
          </w:p>
        </w:tc>
      </w:tr>
      <w:tr w:rsidR="001D1810" w:rsidRPr="00D75FE8" w:rsidTr="0057495B">
        <w:tc>
          <w:tcPr>
            <w:tcW w:w="1895" w:type="dxa"/>
            <w:shd w:val="clear" w:color="auto" w:fill="EFF0EF" w:themeFill="accent4"/>
          </w:tcPr>
          <w:p w:rsidR="001D1810" w:rsidRPr="003078C9" w:rsidRDefault="001D1810" w:rsidP="0057495B">
            <w:pPr>
              <w:pStyle w:val="Tables"/>
              <w:rPr>
                <w:rFonts w:eastAsiaTheme="majorEastAsia"/>
                <w:b/>
                <w:bCs/>
                <w:color w:val="7AB800" w:themeColor="accent1"/>
              </w:rPr>
            </w:pPr>
            <w:r>
              <w:rPr>
                <w:b/>
              </w:rPr>
              <w:t>Melbourne  Webb Dock</w:t>
            </w:r>
          </w:p>
        </w:tc>
        <w:tc>
          <w:tcPr>
            <w:tcW w:w="7144" w:type="dxa"/>
            <w:shd w:val="clear" w:color="auto" w:fill="auto"/>
          </w:tcPr>
          <w:p w:rsidR="001D1810" w:rsidRDefault="001D1810" w:rsidP="00AF6026">
            <w:pPr>
              <w:pStyle w:val="Bullet1"/>
              <w:numPr>
                <w:ilvl w:val="0"/>
                <w:numId w:val="0"/>
              </w:numPr>
              <w:rPr>
                <w:rFonts w:eastAsiaTheme="majorEastAsia"/>
                <w:b/>
                <w:bCs/>
                <w:color w:val="7AB800" w:themeColor="accent1"/>
              </w:rPr>
            </w:pPr>
            <w:r>
              <w:t>Webb Dock</w:t>
            </w:r>
            <w:r w:rsidRPr="006C4E82">
              <w:t xml:space="preserve"> terminal area is well laid out for the receival and delivery of containers, trailers and trucks. There is adequate space in the terminal for normal traffic volumes but the terminal becomes congested during peak periods. </w:t>
            </w:r>
          </w:p>
          <w:p w:rsidR="001D1810" w:rsidRDefault="001D1810" w:rsidP="00AF6026">
            <w:pPr>
              <w:pStyle w:val="Bullet1"/>
              <w:numPr>
                <w:ilvl w:val="0"/>
                <w:numId w:val="0"/>
              </w:numPr>
              <w:rPr>
                <w:rFonts w:eastAsiaTheme="majorEastAsia"/>
                <w:b/>
                <w:bCs/>
                <w:color w:val="7AB800" w:themeColor="accent1"/>
              </w:rPr>
            </w:pPr>
            <w:r w:rsidRPr="006C4E82">
              <w:t xml:space="preserve">Toll-ANL have an adjoining terminal / facility used by their freight forwarding division (Edwards) and this is an advantage to their service as consolidation work can be carried out in that yard before moving across to the Bass Strait </w:t>
            </w:r>
            <w:r>
              <w:t>Shipping</w:t>
            </w:r>
            <w:r w:rsidRPr="006C4E82">
              <w:t xml:space="preserve"> terminal. The yard has powered areas for the storage of refrigerated containers and other areas set aside for dangerous goods.</w:t>
            </w:r>
          </w:p>
          <w:p w:rsidR="001D1810" w:rsidRDefault="001D1810" w:rsidP="00AF6026">
            <w:pPr>
              <w:pStyle w:val="Bullet1"/>
              <w:numPr>
                <w:ilvl w:val="0"/>
                <w:numId w:val="0"/>
              </w:numPr>
              <w:rPr>
                <w:rFonts w:eastAsiaTheme="majorEastAsia"/>
                <w:b/>
                <w:bCs/>
                <w:color w:val="7AB800" w:themeColor="accent1"/>
              </w:rPr>
            </w:pPr>
            <w:r>
              <w:t xml:space="preserve">Webb Dock terminal </w:t>
            </w:r>
            <w:r w:rsidRPr="006C4E82">
              <w:t>is adequate for present traffic volumes.</w:t>
            </w:r>
            <w:r>
              <w:t xml:space="preserve">  </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Pr>
        <w:tc>
          <w:tcPr>
            <w:tcW w:w="1895" w:type="dxa"/>
            <w:shd w:val="clear" w:color="auto" w:fill="EFF0EF" w:themeFill="accent4"/>
          </w:tcPr>
          <w:p w:rsidR="001D1810" w:rsidRPr="003078C9" w:rsidRDefault="001D1810" w:rsidP="0057495B">
            <w:pPr>
              <w:pStyle w:val="Tables"/>
              <w:rPr>
                <w:b/>
              </w:rPr>
            </w:pPr>
            <w:r w:rsidRPr="003078C9">
              <w:rPr>
                <w:b/>
              </w:rPr>
              <w:t>Burnie</w:t>
            </w:r>
          </w:p>
        </w:tc>
        <w:tc>
          <w:tcPr>
            <w:tcW w:w="7144" w:type="dxa"/>
            <w:shd w:val="clear" w:color="auto" w:fill="auto"/>
          </w:tcPr>
          <w:p w:rsidR="001D1810" w:rsidRDefault="001D1810" w:rsidP="00AF6026">
            <w:pPr>
              <w:pStyle w:val="Bullet1"/>
              <w:numPr>
                <w:ilvl w:val="0"/>
                <w:numId w:val="0"/>
              </w:numPr>
              <w:rPr>
                <w:rFonts w:eastAsiaTheme="majorEastAsia"/>
                <w:b/>
                <w:bCs/>
                <w:color w:val="7AB800" w:themeColor="accent1"/>
              </w:rPr>
            </w:pPr>
            <w:r>
              <w:t>Freight</w:t>
            </w:r>
            <w:r w:rsidRPr="00970024">
              <w:t xml:space="preserve"> arrives at the terminal until about 3:00pm for </w:t>
            </w:r>
            <w:r>
              <w:t>shipping that day.  In some cases freight may arrive up to one hour before sailing.</w:t>
            </w:r>
          </w:p>
          <w:p w:rsidR="001D1810" w:rsidRDefault="001D1810" w:rsidP="00AF6026">
            <w:pPr>
              <w:pStyle w:val="Bullet1"/>
              <w:numPr>
                <w:ilvl w:val="0"/>
                <w:numId w:val="0"/>
              </w:numPr>
              <w:rPr>
                <w:rFonts w:eastAsiaTheme="majorEastAsia"/>
                <w:b/>
                <w:bCs/>
                <w:color w:val="7AB800" w:themeColor="accent1"/>
              </w:rPr>
            </w:pPr>
            <w:r w:rsidRPr="00970024">
              <w:t xml:space="preserve">The company has invested in several high </w:t>
            </w:r>
            <w:r>
              <w:t>tech container forklifts and reach</w:t>
            </w:r>
            <w:r w:rsidRPr="00970024">
              <w:t xml:space="preserve"> stackers, which ha</w:t>
            </w:r>
            <w:r>
              <w:t>ve</w:t>
            </w:r>
            <w:r w:rsidRPr="00970024">
              <w:t xml:space="preserve"> increased efficiency and safety. The </w:t>
            </w:r>
            <w:r>
              <w:t>vessel</w:t>
            </w:r>
            <w:r w:rsidRPr="00970024">
              <w:t>s ramp is lowered onto a link-span arrangement, which caters for the rise and fall of the tide. This is similar to arrangements at the other terminals.</w:t>
            </w:r>
          </w:p>
          <w:p w:rsidR="001D1810" w:rsidRDefault="001D1810" w:rsidP="00AF6026">
            <w:pPr>
              <w:pStyle w:val="Bullet1"/>
              <w:numPr>
                <w:ilvl w:val="0"/>
                <w:numId w:val="0"/>
              </w:numPr>
              <w:rPr>
                <w:rFonts w:eastAsiaTheme="majorEastAsia"/>
                <w:b/>
                <w:bCs/>
                <w:color w:val="7AB800" w:themeColor="accent1"/>
              </w:rPr>
            </w:pPr>
            <w:r w:rsidRPr="00970024">
              <w:t>The Burnie terminal layout has its limitations due to legacy issues at the port. However, the company has been making changes to layout to increase efficiency of terminal operations</w:t>
            </w:r>
            <w:r>
              <w:t xml:space="preserve"> such as </w:t>
            </w:r>
            <w:r w:rsidRPr="00970024">
              <w:t>introduc</w:t>
            </w:r>
            <w:r>
              <w:t>ing</w:t>
            </w:r>
            <w:r w:rsidRPr="00970024">
              <w:t xml:space="preserve"> one-way traffic flows with designated areas for incoming containers by road and rail. These have improved terminal operations and </w:t>
            </w:r>
            <w:r>
              <w:t>maintain</w:t>
            </w:r>
            <w:r w:rsidRPr="00970024">
              <w:t xml:space="preserve"> the vessels on schedule.</w:t>
            </w:r>
          </w:p>
          <w:p w:rsidR="001D1810" w:rsidRDefault="001D1810" w:rsidP="00AF6026">
            <w:pPr>
              <w:pStyle w:val="Bullet1"/>
              <w:numPr>
                <w:ilvl w:val="0"/>
                <w:numId w:val="0"/>
              </w:numPr>
              <w:rPr>
                <w:rFonts w:eastAsiaTheme="majorEastAsia"/>
                <w:b/>
                <w:bCs/>
                <w:color w:val="7AB800" w:themeColor="accent1"/>
              </w:rPr>
            </w:pPr>
            <w:r>
              <w:t xml:space="preserve">The space available at the Burnie terminal is </w:t>
            </w:r>
            <w:r w:rsidRPr="006C4E82">
              <w:t>not adequa</w:t>
            </w:r>
            <w:r>
              <w:t>te for present and future needs and together with TasPorts and TasRail, Toll-ANL are working on a project to increase efficiency and to</w:t>
            </w:r>
            <w:r w:rsidRPr="006C4E82">
              <w:t xml:space="preserve"> allow more terminal space for the throughput of</w:t>
            </w:r>
            <w:r>
              <w:t xml:space="preserve"> containers and other freight. S</w:t>
            </w:r>
            <w:r w:rsidRPr="006C4E82">
              <w:t xml:space="preserve">ignificant changes </w:t>
            </w:r>
            <w:r>
              <w:t xml:space="preserve">are being considered </w:t>
            </w:r>
            <w:r w:rsidRPr="006C4E82">
              <w:t>in th</w:t>
            </w:r>
            <w:r>
              <w:t>e port layout including</w:t>
            </w:r>
            <w:r w:rsidRPr="006C4E82">
              <w:t xml:space="preserve"> changing the </w:t>
            </w:r>
            <w:r>
              <w:t>rail interface area at the port and changing</w:t>
            </w:r>
            <w:r w:rsidRPr="006C4E82">
              <w:t xml:space="preserve"> the location of buildings in the terminal</w:t>
            </w:r>
          </w:p>
          <w:p w:rsidR="001D1810" w:rsidRDefault="001D1810" w:rsidP="00AF6026">
            <w:pPr>
              <w:pStyle w:val="Bullet1"/>
              <w:numPr>
                <w:ilvl w:val="0"/>
                <w:numId w:val="0"/>
              </w:numPr>
              <w:rPr>
                <w:rFonts w:eastAsiaTheme="majorEastAsia"/>
                <w:b/>
                <w:bCs/>
                <w:color w:val="7AB800" w:themeColor="accent1"/>
              </w:rPr>
            </w:pPr>
            <w:r w:rsidRPr="00970024">
              <w:t xml:space="preserve">The terminal has powered outlets for refrigerated containers and the company has developed an innovative Mafi-type trailer for refrigerated container </w:t>
            </w:r>
            <w:r>
              <w:t>freight</w:t>
            </w:r>
            <w:r w:rsidRPr="00970024">
              <w:t xml:space="preserve"> </w:t>
            </w:r>
            <w:r>
              <w:t>which</w:t>
            </w:r>
            <w:r w:rsidRPr="00970024">
              <w:t xml:space="preserve"> has involved additional capital expenditure </w:t>
            </w:r>
            <w:r>
              <w:t>but</w:t>
            </w:r>
            <w:r w:rsidRPr="00970024">
              <w:t xml:space="preserve"> has brought logistics savings to the customer</w:t>
            </w:r>
            <w:r>
              <w:t>s.</w:t>
            </w:r>
          </w:p>
        </w:tc>
      </w:tr>
    </w:tbl>
    <w:p w:rsidR="001D1810" w:rsidRDefault="001D1810" w:rsidP="001D1810">
      <w:pPr>
        <w:tabs>
          <w:tab w:val="left" w:pos="0"/>
        </w:tabs>
        <w:ind w:right="-64"/>
        <w:jc w:val="left"/>
      </w:pPr>
    </w:p>
    <w:p w:rsidR="001D1810" w:rsidRDefault="001D1810" w:rsidP="001D1810">
      <w:pPr>
        <w:spacing w:after="200"/>
        <w:jc w:val="left"/>
        <w:rPr>
          <w:rFonts w:asciiTheme="majorHAnsi" w:eastAsiaTheme="majorEastAsia" w:hAnsiTheme="majorHAnsi" w:cstheme="majorHAnsi"/>
          <w:b/>
          <w:bCs/>
          <w:color w:val="353D30" w:themeColor="accent2"/>
          <w:sz w:val="24"/>
          <w:szCs w:val="22"/>
        </w:rPr>
      </w:pPr>
      <w:bookmarkStart w:id="207" w:name="_Toc357761432"/>
      <w:bookmarkStart w:id="208" w:name="_Toc358228806"/>
      <w:bookmarkStart w:id="209" w:name="_Toc358361305"/>
      <w:r>
        <w:br w:type="page"/>
      </w:r>
    </w:p>
    <w:p w:rsidR="001D1810" w:rsidRPr="006C4E82" w:rsidRDefault="001D1810" w:rsidP="0040197A">
      <w:pPr>
        <w:pStyle w:val="Heading2"/>
      </w:pPr>
      <w:bookmarkStart w:id="210" w:name="_Toc364154095"/>
      <w:bookmarkStart w:id="211" w:name="_Toc367700241"/>
      <w:r>
        <w:lastRenderedPageBreak/>
        <w:t xml:space="preserve">A </w:t>
      </w:r>
      <w:r w:rsidRPr="006C4E82">
        <w:t xml:space="preserve">Comparison of </w:t>
      </w:r>
      <w:r>
        <w:t>Tasmania’s Northern Ports</w:t>
      </w:r>
      <w:bookmarkEnd w:id="207"/>
      <w:bookmarkEnd w:id="208"/>
      <w:bookmarkEnd w:id="209"/>
      <w:bookmarkEnd w:id="210"/>
      <w:bookmarkEnd w:id="211"/>
    </w:p>
    <w:p w:rsidR="001D1810" w:rsidRPr="006C4E82" w:rsidRDefault="00CA7023" w:rsidP="001D1810">
      <w:pPr>
        <w:ind w:right="-64"/>
        <w:jc w:val="left"/>
      </w:pPr>
      <w:r>
        <w:fldChar w:fldCharType="begin"/>
      </w:r>
      <w:r w:rsidR="00747377">
        <w:instrText xml:space="preserve"> REF _Ref366767321 \h </w:instrText>
      </w:r>
      <w:r>
        <w:fldChar w:fldCharType="separate"/>
      </w:r>
      <w:r w:rsidR="00FF5EB2">
        <w:t xml:space="preserve">Table </w:t>
      </w:r>
      <w:r w:rsidR="00FF5EB2">
        <w:rPr>
          <w:noProof/>
        </w:rPr>
        <w:t>15</w:t>
      </w:r>
      <w:r>
        <w:fldChar w:fldCharType="end"/>
      </w:r>
      <w:r w:rsidR="00747377">
        <w:t xml:space="preserve"> </w:t>
      </w:r>
      <w:r w:rsidR="001D1810" w:rsidRPr="006C4E82">
        <w:t xml:space="preserve">provides an overview of the main features of the </w:t>
      </w:r>
      <w:r w:rsidR="001D1810">
        <w:t>three</w:t>
      </w:r>
      <w:r w:rsidR="001D1810" w:rsidRPr="006C4E82">
        <w:t xml:space="preserve"> northern Tasmanian ports and terminals used by Bass Strait </w:t>
      </w:r>
      <w:r w:rsidR="001D1810">
        <w:t>Shipping</w:t>
      </w:r>
      <w:r w:rsidR="001D1810" w:rsidRPr="006C4E82">
        <w:t xml:space="preserve"> service provide</w:t>
      </w:r>
      <w:r w:rsidR="001D1810">
        <w:t xml:space="preserve">rs at present and in the past. </w:t>
      </w:r>
    </w:p>
    <w:tbl>
      <w:tblPr>
        <w:tblStyle w:val="Style1"/>
        <w:tblW w:w="10866" w:type="dxa"/>
        <w:tblLook w:val="04A0" w:firstRow="1" w:lastRow="0" w:firstColumn="1" w:lastColumn="0" w:noHBand="0" w:noVBand="1"/>
      </w:tblPr>
      <w:tblGrid>
        <w:gridCol w:w="1669"/>
        <w:gridCol w:w="3151"/>
        <w:gridCol w:w="2480"/>
        <w:gridCol w:w="3566"/>
      </w:tblGrid>
      <w:tr w:rsidR="001D1810" w:rsidRPr="006C4E82" w:rsidTr="00A5218B">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669" w:type="dxa"/>
          </w:tcPr>
          <w:p w:rsidR="001D1810" w:rsidRPr="00622A3D" w:rsidRDefault="001D1810" w:rsidP="0057495B">
            <w:pPr>
              <w:pStyle w:val="Tables"/>
              <w:spacing w:before="144" w:after="144"/>
              <w:jc w:val="center"/>
            </w:pPr>
            <w:r w:rsidRPr="00622A3D">
              <w:t>Feature</w:t>
            </w:r>
          </w:p>
        </w:tc>
        <w:tc>
          <w:tcPr>
            <w:tcW w:w="3151" w:type="dxa"/>
          </w:tcPr>
          <w:p w:rsidR="001D1810" w:rsidRPr="00622A3D" w:rsidRDefault="001D1810" w:rsidP="0057495B">
            <w:pPr>
              <w:pStyle w:val="Tables"/>
              <w:spacing w:before="144" w:after="144"/>
              <w:jc w:val="center"/>
              <w:cnfStyle w:val="100000000000" w:firstRow="1" w:lastRow="0" w:firstColumn="0" w:lastColumn="0" w:oddVBand="0" w:evenVBand="0" w:oddHBand="0" w:evenHBand="0" w:firstRowFirstColumn="0" w:firstRowLastColumn="0" w:lastRowFirstColumn="0" w:lastRowLastColumn="0"/>
              <w:rPr>
                <w:b w:val="0"/>
              </w:rPr>
            </w:pPr>
            <w:r w:rsidRPr="00622A3D">
              <w:t>Devonport</w:t>
            </w:r>
          </w:p>
        </w:tc>
        <w:tc>
          <w:tcPr>
            <w:tcW w:w="2480" w:type="dxa"/>
          </w:tcPr>
          <w:p w:rsidR="001D1810" w:rsidRPr="00622A3D" w:rsidRDefault="001D1810" w:rsidP="0057495B">
            <w:pPr>
              <w:pStyle w:val="Tables"/>
              <w:spacing w:before="144" w:after="144"/>
              <w:jc w:val="center"/>
              <w:cnfStyle w:val="100000000000" w:firstRow="1" w:lastRow="0" w:firstColumn="0" w:lastColumn="0" w:oddVBand="0" w:evenVBand="0" w:oddHBand="0" w:evenHBand="0" w:firstRowFirstColumn="0" w:firstRowLastColumn="0" w:lastRowFirstColumn="0" w:lastRowLastColumn="0"/>
              <w:rPr>
                <w:b w:val="0"/>
              </w:rPr>
            </w:pPr>
            <w:r w:rsidRPr="00622A3D">
              <w:t>Burnie</w:t>
            </w:r>
          </w:p>
        </w:tc>
        <w:tc>
          <w:tcPr>
            <w:tcW w:w="3566" w:type="dxa"/>
          </w:tcPr>
          <w:p w:rsidR="001D1810" w:rsidRPr="00622A3D" w:rsidRDefault="001D1810" w:rsidP="0057495B">
            <w:pPr>
              <w:pStyle w:val="Tables"/>
              <w:spacing w:before="144" w:after="144"/>
              <w:jc w:val="center"/>
              <w:cnfStyle w:val="100000000000" w:firstRow="1" w:lastRow="0" w:firstColumn="0" w:lastColumn="0" w:oddVBand="0" w:evenVBand="0" w:oddHBand="0" w:evenHBand="0" w:firstRowFirstColumn="0" w:firstRowLastColumn="0" w:lastRowFirstColumn="0" w:lastRowLastColumn="0"/>
              <w:rPr>
                <w:b w:val="0"/>
              </w:rPr>
            </w:pPr>
            <w:r w:rsidRPr="00622A3D">
              <w:t>Bell Bay</w:t>
            </w:r>
          </w:p>
        </w:tc>
      </w:tr>
      <w:tr w:rsidR="001D1810" w:rsidRPr="006C4E82" w:rsidTr="00A5218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669" w:type="dxa"/>
            <w:vAlign w:val="top"/>
          </w:tcPr>
          <w:p w:rsidR="001D1810" w:rsidRPr="00767A8D" w:rsidRDefault="001D1810" w:rsidP="0057495B">
            <w:pPr>
              <w:pStyle w:val="Tables"/>
              <w:jc w:val="left"/>
              <w:rPr>
                <w:b/>
              </w:rPr>
            </w:pPr>
            <w:r w:rsidRPr="00767A8D">
              <w:rPr>
                <w:b/>
              </w:rPr>
              <w:t xml:space="preserve">Operator </w:t>
            </w:r>
          </w:p>
        </w:tc>
        <w:tc>
          <w:tcPr>
            <w:tcW w:w="3151" w:type="dxa"/>
            <w:vAlign w:val="top"/>
          </w:tcPr>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TT</w:t>
            </w:r>
            <w:r>
              <w:t>-</w:t>
            </w:r>
            <w:r w:rsidRPr="00622A3D">
              <w:t xml:space="preserve">Line </w:t>
            </w:r>
            <w:r>
              <w:t xml:space="preserve">and </w:t>
            </w:r>
            <w:r w:rsidRPr="00622A3D">
              <w:t xml:space="preserve"> SeaRoad</w:t>
            </w:r>
            <w:r>
              <w:t xml:space="preserve"> Shipping</w:t>
            </w:r>
          </w:p>
        </w:tc>
        <w:tc>
          <w:tcPr>
            <w:tcW w:w="2480" w:type="dxa"/>
            <w:vAlign w:val="top"/>
          </w:tcPr>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Toll-ANL</w:t>
            </w:r>
          </w:p>
        </w:tc>
        <w:tc>
          <w:tcPr>
            <w:tcW w:w="3566" w:type="dxa"/>
            <w:vAlign w:val="top"/>
          </w:tcPr>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Not used at present</w:t>
            </w:r>
          </w:p>
        </w:tc>
      </w:tr>
      <w:tr w:rsidR="001D1810" w:rsidRPr="006C4E82" w:rsidTr="00A5218B">
        <w:trPr>
          <w:cnfStyle w:val="000000010000" w:firstRow="0" w:lastRow="0" w:firstColumn="0" w:lastColumn="0" w:oddVBand="0" w:evenVBand="0" w:oddHBand="0" w:evenHBand="1"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1669" w:type="dxa"/>
            <w:vAlign w:val="top"/>
          </w:tcPr>
          <w:p w:rsidR="001D1810" w:rsidRPr="00767A8D" w:rsidRDefault="001D1810" w:rsidP="006C63E9">
            <w:pPr>
              <w:pStyle w:val="Tables"/>
              <w:jc w:val="left"/>
              <w:rPr>
                <w:b/>
              </w:rPr>
            </w:pPr>
            <w:r w:rsidRPr="00767A8D">
              <w:rPr>
                <w:b/>
              </w:rPr>
              <w:t xml:space="preserve">Position of </w:t>
            </w:r>
            <w:r w:rsidR="006C63E9">
              <w:rPr>
                <w:b/>
              </w:rPr>
              <w:t>P</w:t>
            </w:r>
            <w:r w:rsidRPr="00767A8D">
              <w:rPr>
                <w:b/>
              </w:rPr>
              <w:t xml:space="preserve">ort </w:t>
            </w:r>
          </w:p>
        </w:tc>
        <w:tc>
          <w:tcPr>
            <w:tcW w:w="3151" w:type="dxa"/>
            <w:vAlign w:val="top"/>
          </w:tcPr>
          <w:p w:rsidR="001D1810" w:rsidRPr="00622A3D" w:rsidRDefault="001D1810" w:rsidP="0057495B">
            <w:pPr>
              <w:pStyle w:val="Tables"/>
              <w:jc w:val="left"/>
              <w:cnfStyle w:val="000000010000" w:firstRow="0" w:lastRow="0" w:firstColumn="0" w:lastColumn="0" w:oddVBand="0" w:evenVBand="0" w:oddHBand="0" w:evenHBand="1" w:firstRowFirstColumn="0" w:firstRowLastColumn="0" w:lastRowFirstColumn="0" w:lastRowLastColumn="0"/>
            </w:pPr>
            <w:r w:rsidRPr="00622A3D">
              <w:t>Up Mersey river; short distance from sea. Port straddles the Mersey River (west bulk goods and east containers and  passengers)</w:t>
            </w:r>
          </w:p>
        </w:tc>
        <w:tc>
          <w:tcPr>
            <w:tcW w:w="2480" w:type="dxa"/>
            <w:vAlign w:val="top"/>
          </w:tcPr>
          <w:p w:rsidR="001D1810" w:rsidRPr="00622A3D" w:rsidRDefault="001D1810" w:rsidP="0057495B">
            <w:pPr>
              <w:pStyle w:val="Tables"/>
              <w:jc w:val="left"/>
              <w:cnfStyle w:val="000000010000" w:firstRow="0" w:lastRow="0" w:firstColumn="0" w:lastColumn="0" w:oddVBand="0" w:evenVBand="0" w:oddHBand="0" w:evenHBand="1" w:firstRowFirstColumn="0" w:firstRowLastColumn="0" w:lastRowFirstColumn="0" w:lastRowLastColumn="0"/>
            </w:pPr>
            <w:r w:rsidRPr="00622A3D">
              <w:t>On the north coast</w:t>
            </w:r>
          </w:p>
        </w:tc>
        <w:tc>
          <w:tcPr>
            <w:tcW w:w="3566" w:type="dxa"/>
            <w:vAlign w:val="top"/>
          </w:tcPr>
          <w:p w:rsidR="001D1810" w:rsidRPr="00622A3D" w:rsidRDefault="001D1810" w:rsidP="0057495B">
            <w:pPr>
              <w:pStyle w:val="Tables"/>
              <w:jc w:val="left"/>
              <w:cnfStyle w:val="000000010000" w:firstRow="0" w:lastRow="0" w:firstColumn="0" w:lastColumn="0" w:oddVBand="0" w:evenVBand="0" w:oddHBand="0" w:evenHBand="1" w:firstRowFirstColumn="0" w:firstRowLastColumn="0" w:lastRowFirstColumn="0" w:lastRowLastColumn="0"/>
            </w:pPr>
            <w:r w:rsidRPr="00622A3D">
              <w:t>Up Tamar river; fair distance</w:t>
            </w:r>
          </w:p>
        </w:tc>
      </w:tr>
      <w:tr w:rsidR="001D1810" w:rsidRPr="006C4E82" w:rsidTr="00A52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vAlign w:val="top"/>
          </w:tcPr>
          <w:p w:rsidR="001D1810" w:rsidRPr="00767A8D" w:rsidRDefault="001D1810" w:rsidP="006C63E9">
            <w:pPr>
              <w:pStyle w:val="Tables"/>
              <w:jc w:val="left"/>
              <w:rPr>
                <w:b/>
              </w:rPr>
            </w:pPr>
            <w:r w:rsidRPr="00767A8D">
              <w:rPr>
                <w:b/>
              </w:rPr>
              <w:t xml:space="preserve">Distance </w:t>
            </w:r>
            <w:r w:rsidR="006C63E9">
              <w:rPr>
                <w:b/>
              </w:rPr>
              <w:t>F</w:t>
            </w:r>
            <w:r w:rsidRPr="00767A8D">
              <w:rPr>
                <w:b/>
              </w:rPr>
              <w:t xml:space="preserve">rom </w:t>
            </w:r>
            <w:r w:rsidR="006C63E9">
              <w:rPr>
                <w:b/>
              </w:rPr>
              <w:t>S</w:t>
            </w:r>
            <w:r w:rsidRPr="00767A8D">
              <w:rPr>
                <w:b/>
              </w:rPr>
              <w:t xml:space="preserve">ea </w:t>
            </w:r>
          </w:p>
        </w:tc>
        <w:tc>
          <w:tcPr>
            <w:tcW w:w="3151" w:type="dxa"/>
            <w:vAlign w:val="top"/>
          </w:tcPr>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About 1.5 nm from entrance</w:t>
            </w:r>
          </w:p>
        </w:tc>
        <w:tc>
          <w:tcPr>
            <w:tcW w:w="2480" w:type="dxa"/>
            <w:vAlign w:val="top"/>
          </w:tcPr>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On the north coast</w:t>
            </w:r>
          </w:p>
        </w:tc>
        <w:tc>
          <w:tcPr>
            <w:tcW w:w="3566" w:type="dxa"/>
            <w:vAlign w:val="top"/>
          </w:tcPr>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About 9.0nm from entrance</w:t>
            </w:r>
          </w:p>
        </w:tc>
      </w:tr>
      <w:tr w:rsidR="001D1810" w:rsidRPr="006C4E82" w:rsidTr="00A5218B">
        <w:trPr>
          <w:cnfStyle w:val="000000010000" w:firstRow="0" w:lastRow="0" w:firstColumn="0" w:lastColumn="0" w:oddVBand="0" w:evenVBand="0" w:oddHBand="0" w:evenHBand="1"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669" w:type="dxa"/>
            <w:vAlign w:val="top"/>
          </w:tcPr>
          <w:p w:rsidR="001D1810" w:rsidRPr="00767A8D" w:rsidRDefault="001D1810" w:rsidP="0057495B">
            <w:pPr>
              <w:pStyle w:val="Tables"/>
              <w:jc w:val="left"/>
              <w:rPr>
                <w:b/>
              </w:rPr>
            </w:pPr>
            <w:r w:rsidRPr="00767A8D">
              <w:rPr>
                <w:b/>
              </w:rPr>
              <w:t xml:space="preserve">Navigational </w:t>
            </w:r>
            <w:r w:rsidR="006C63E9">
              <w:rPr>
                <w:b/>
              </w:rPr>
              <w:t>I</w:t>
            </w:r>
            <w:r w:rsidRPr="00767A8D">
              <w:rPr>
                <w:b/>
              </w:rPr>
              <w:t xml:space="preserve">ssues </w:t>
            </w:r>
          </w:p>
        </w:tc>
        <w:tc>
          <w:tcPr>
            <w:tcW w:w="3151" w:type="dxa"/>
            <w:vAlign w:val="top"/>
          </w:tcPr>
          <w:p w:rsidR="001D1810" w:rsidRPr="00622A3D" w:rsidRDefault="001D1810" w:rsidP="0057495B">
            <w:pPr>
              <w:pStyle w:val="Tables"/>
              <w:jc w:val="left"/>
              <w:cnfStyle w:val="000000010000" w:firstRow="0" w:lastRow="0" w:firstColumn="0" w:lastColumn="0" w:oddVBand="0" w:evenVBand="0" w:oddHBand="0" w:evenHBand="1" w:firstRowFirstColumn="0" w:firstRowLastColumn="0" w:lastRowFirstColumn="0" w:lastRowLastColumn="0"/>
            </w:pPr>
            <w:r w:rsidRPr="00622A3D">
              <w:t>Turning basin 300m in river; vessel length limited to 205 m due to narrow river</w:t>
            </w:r>
          </w:p>
        </w:tc>
        <w:tc>
          <w:tcPr>
            <w:tcW w:w="2480" w:type="dxa"/>
            <w:vAlign w:val="top"/>
          </w:tcPr>
          <w:p w:rsidR="001D1810" w:rsidRPr="00622A3D" w:rsidRDefault="001D1810" w:rsidP="0057495B">
            <w:pPr>
              <w:pStyle w:val="Tables"/>
              <w:jc w:val="left"/>
              <w:cnfStyle w:val="000000010000" w:firstRow="0" w:lastRow="0" w:firstColumn="0" w:lastColumn="0" w:oddVBand="0" w:evenVBand="0" w:oddHBand="0" w:evenHBand="1" w:firstRowFirstColumn="0" w:firstRowLastColumn="0" w:lastRowFirstColumn="0" w:lastRowLastColumn="0"/>
            </w:pPr>
            <w:r w:rsidRPr="00622A3D">
              <w:t>Not an issue</w:t>
            </w:r>
          </w:p>
        </w:tc>
        <w:tc>
          <w:tcPr>
            <w:tcW w:w="3566" w:type="dxa"/>
            <w:vAlign w:val="top"/>
          </w:tcPr>
          <w:p w:rsidR="001D1810" w:rsidRPr="00622A3D" w:rsidRDefault="001D1810" w:rsidP="0057495B">
            <w:pPr>
              <w:pStyle w:val="Tables"/>
              <w:jc w:val="left"/>
              <w:cnfStyle w:val="000000010000" w:firstRow="0" w:lastRow="0" w:firstColumn="0" w:lastColumn="0" w:oddVBand="0" w:evenVBand="0" w:oddHBand="0" w:evenHBand="1" w:firstRowFirstColumn="0" w:firstRowLastColumn="0" w:lastRowFirstColumn="0" w:lastRowLastColumn="0"/>
            </w:pPr>
            <w:r w:rsidRPr="00622A3D">
              <w:t>Turning basin in river and sharp turns in the river make navigation difficult; length limited to 250 m</w:t>
            </w:r>
          </w:p>
        </w:tc>
      </w:tr>
      <w:tr w:rsidR="001D1810" w:rsidRPr="006C4E82" w:rsidTr="00A5218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669" w:type="dxa"/>
            <w:vAlign w:val="top"/>
          </w:tcPr>
          <w:p w:rsidR="001D1810" w:rsidRPr="00767A8D" w:rsidRDefault="00373C95" w:rsidP="006C63E9">
            <w:pPr>
              <w:pStyle w:val="Tables"/>
              <w:jc w:val="left"/>
              <w:rPr>
                <w:b/>
              </w:rPr>
            </w:pPr>
            <w:r>
              <w:rPr>
                <w:b/>
              </w:rPr>
              <w:t>D</w:t>
            </w:r>
            <w:r w:rsidR="001D1810" w:rsidRPr="00767A8D">
              <w:rPr>
                <w:b/>
              </w:rPr>
              <w:t xml:space="preserve">epth of </w:t>
            </w:r>
            <w:r w:rsidR="006C63E9">
              <w:rPr>
                <w:b/>
              </w:rPr>
              <w:t>C</w:t>
            </w:r>
            <w:r w:rsidR="001D1810" w:rsidRPr="00767A8D">
              <w:rPr>
                <w:b/>
              </w:rPr>
              <w:t>hannel</w:t>
            </w:r>
          </w:p>
        </w:tc>
        <w:tc>
          <w:tcPr>
            <w:tcW w:w="3151" w:type="dxa"/>
            <w:vAlign w:val="top"/>
          </w:tcPr>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9.2m</w:t>
            </w:r>
          </w:p>
        </w:tc>
        <w:tc>
          <w:tcPr>
            <w:tcW w:w="2480" w:type="dxa"/>
            <w:vAlign w:val="top"/>
          </w:tcPr>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10m</w:t>
            </w:r>
          </w:p>
        </w:tc>
        <w:tc>
          <w:tcPr>
            <w:tcW w:w="3566" w:type="dxa"/>
            <w:vAlign w:val="top"/>
          </w:tcPr>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+12m</w:t>
            </w:r>
          </w:p>
        </w:tc>
      </w:tr>
      <w:tr w:rsidR="001D1810" w:rsidRPr="006C4E82" w:rsidTr="00A5218B">
        <w:trPr>
          <w:cnfStyle w:val="000000010000" w:firstRow="0" w:lastRow="0" w:firstColumn="0" w:lastColumn="0" w:oddVBand="0" w:evenVBand="0" w:oddHBand="0" w:evenHBand="1"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669" w:type="dxa"/>
            <w:vAlign w:val="top"/>
          </w:tcPr>
          <w:p w:rsidR="001D1810" w:rsidRPr="00767A8D" w:rsidRDefault="001D1810" w:rsidP="0057495B">
            <w:pPr>
              <w:pStyle w:val="Tables"/>
              <w:jc w:val="left"/>
              <w:rPr>
                <w:b/>
              </w:rPr>
            </w:pPr>
            <w:r w:rsidRPr="00767A8D">
              <w:rPr>
                <w:b/>
              </w:rPr>
              <w:t xml:space="preserve">Dredged depth at berth (LAT) </w:t>
            </w:r>
          </w:p>
        </w:tc>
        <w:tc>
          <w:tcPr>
            <w:tcW w:w="3151" w:type="dxa"/>
            <w:vAlign w:val="top"/>
          </w:tcPr>
          <w:p w:rsidR="001D1810" w:rsidRPr="00622A3D" w:rsidRDefault="001D1810" w:rsidP="0057495B">
            <w:pPr>
              <w:pStyle w:val="Tables"/>
              <w:jc w:val="left"/>
              <w:cnfStyle w:val="000000010000" w:firstRow="0" w:lastRow="0" w:firstColumn="0" w:lastColumn="0" w:oddVBand="0" w:evenVBand="0" w:oddHBand="0" w:evenHBand="1" w:firstRowFirstColumn="0" w:firstRowLastColumn="0" w:lastRowFirstColumn="0" w:lastRowLastColumn="0"/>
            </w:pPr>
            <w:r w:rsidRPr="00622A3D">
              <w:t>6.7m TT</w:t>
            </w:r>
            <w:r>
              <w:t>-</w:t>
            </w:r>
            <w:r w:rsidRPr="00622A3D">
              <w:t>Line (berth 1E)</w:t>
            </w:r>
          </w:p>
          <w:p w:rsidR="001D1810" w:rsidRPr="00622A3D" w:rsidRDefault="001D1810" w:rsidP="0057495B">
            <w:pPr>
              <w:pStyle w:val="Tables"/>
              <w:jc w:val="left"/>
              <w:cnfStyle w:val="000000010000" w:firstRow="0" w:lastRow="0" w:firstColumn="0" w:lastColumn="0" w:oddVBand="0" w:evenVBand="0" w:oddHBand="0" w:evenHBand="1" w:firstRowFirstColumn="0" w:firstRowLastColumn="0" w:lastRowFirstColumn="0" w:lastRowLastColumn="0"/>
            </w:pPr>
            <w:r w:rsidRPr="00622A3D">
              <w:t>8.6m SeaRoad</w:t>
            </w:r>
            <w:r>
              <w:t xml:space="preserve"> Shipping</w:t>
            </w:r>
            <w:r w:rsidRPr="00622A3D">
              <w:t xml:space="preserve"> (berth </w:t>
            </w:r>
            <w:r>
              <w:t>2E)</w:t>
            </w:r>
          </w:p>
        </w:tc>
        <w:tc>
          <w:tcPr>
            <w:tcW w:w="2480" w:type="dxa"/>
            <w:vAlign w:val="top"/>
          </w:tcPr>
          <w:p w:rsidR="001D1810" w:rsidRPr="00622A3D" w:rsidRDefault="001D1810" w:rsidP="0057495B">
            <w:pPr>
              <w:pStyle w:val="Tables"/>
              <w:jc w:val="left"/>
              <w:cnfStyle w:val="000000010000" w:firstRow="0" w:lastRow="0" w:firstColumn="0" w:lastColumn="0" w:oddVBand="0" w:evenVBand="0" w:oddHBand="0" w:evenHBand="1" w:firstRowFirstColumn="0" w:firstRowLastColumn="0" w:lastRowFirstColumn="0" w:lastRowLastColumn="0"/>
            </w:pPr>
            <w:r w:rsidRPr="00622A3D">
              <w:t>10.5m (berth 4)</w:t>
            </w:r>
          </w:p>
        </w:tc>
        <w:tc>
          <w:tcPr>
            <w:tcW w:w="3566" w:type="dxa"/>
            <w:vAlign w:val="top"/>
          </w:tcPr>
          <w:p w:rsidR="001D1810" w:rsidRPr="00622A3D" w:rsidRDefault="001D1810" w:rsidP="0057495B">
            <w:pPr>
              <w:pStyle w:val="Tables"/>
              <w:jc w:val="left"/>
              <w:cnfStyle w:val="000000010000" w:firstRow="0" w:lastRow="0" w:firstColumn="0" w:lastColumn="0" w:oddVBand="0" w:evenVBand="0" w:oddHBand="0" w:evenHBand="1" w:firstRowFirstColumn="0" w:firstRowLastColumn="0" w:lastRowFirstColumn="0" w:lastRowLastColumn="0"/>
            </w:pPr>
            <w:r w:rsidRPr="00622A3D">
              <w:t>12m (berth 5)</w:t>
            </w:r>
          </w:p>
        </w:tc>
      </w:tr>
      <w:tr w:rsidR="001D1810" w:rsidRPr="006C4E82" w:rsidTr="00A52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vAlign w:val="top"/>
          </w:tcPr>
          <w:p w:rsidR="001D1810" w:rsidRPr="00767A8D" w:rsidRDefault="001D1810" w:rsidP="0057495B">
            <w:pPr>
              <w:pStyle w:val="Tables"/>
              <w:jc w:val="left"/>
              <w:rPr>
                <w:b/>
              </w:rPr>
            </w:pPr>
            <w:r w:rsidRPr="00767A8D">
              <w:rPr>
                <w:b/>
              </w:rPr>
              <w:t xml:space="preserve">Available </w:t>
            </w:r>
            <w:r w:rsidR="006C63E9">
              <w:rPr>
                <w:b/>
              </w:rPr>
              <w:t>T</w:t>
            </w:r>
            <w:r w:rsidRPr="00767A8D">
              <w:rPr>
                <w:b/>
              </w:rPr>
              <w:t xml:space="preserve">erminal </w:t>
            </w:r>
            <w:r w:rsidR="006C63E9">
              <w:rPr>
                <w:b/>
              </w:rPr>
              <w:t>S</w:t>
            </w:r>
            <w:r w:rsidRPr="00767A8D">
              <w:rPr>
                <w:b/>
              </w:rPr>
              <w:t>pace</w:t>
            </w:r>
          </w:p>
        </w:tc>
        <w:tc>
          <w:tcPr>
            <w:tcW w:w="3151" w:type="dxa"/>
            <w:vAlign w:val="top"/>
          </w:tcPr>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TT</w:t>
            </w:r>
            <w:r>
              <w:t>-</w:t>
            </w:r>
            <w:r w:rsidRPr="00622A3D">
              <w:t>Line – 2 Ha (adequate)</w:t>
            </w:r>
          </w:p>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SeaRoad</w:t>
            </w:r>
            <w:r>
              <w:t xml:space="preserve"> Shipping</w:t>
            </w:r>
            <w:r w:rsidRPr="00622A3D">
              <w:t xml:space="preserve"> -7 Ha (adequate)</w:t>
            </w:r>
          </w:p>
        </w:tc>
        <w:tc>
          <w:tcPr>
            <w:tcW w:w="2480" w:type="dxa"/>
            <w:vAlign w:val="top"/>
          </w:tcPr>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6 Ha (</w:t>
            </w:r>
            <w:r w:rsidR="006C63E9">
              <w:t>a</w:t>
            </w:r>
            <w:r w:rsidRPr="00622A3D">
              <w:t>pproaching capacity)</w:t>
            </w:r>
          </w:p>
        </w:tc>
        <w:tc>
          <w:tcPr>
            <w:tcW w:w="3566" w:type="dxa"/>
            <w:vAlign w:val="top"/>
          </w:tcPr>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7 Ha. Not used for Bass Strait services at present</w:t>
            </w:r>
          </w:p>
        </w:tc>
      </w:tr>
      <w:tr w:rsidR="001D1810" w:rsidRPr="006C4E82" w:rsidTr="00A521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vAlign w:val="top"/>
          </w:tcPr>
          <w:p w:rsidR="001D1810" w:rsidRPr="00767A8D" w:rsidRDefault="001D1810" w:rsidP="0057495B">
            <w:pPr>
              <w:pStyle w:val="Tables"/>
              <w:jc w:val="left"/>
              <w:rPr>
                <w:b/>
              </w:rPr>
            </w:pPr>
            <w:r w:rsidRPr="00767A8D">
              <w:rPr>
                <w:b/>
              </w:rPr>
              <w:t xml:space="preserve">Terminal Development </w:t>
            </w:r>
            <w:r w:rsidR="006C63E9">
              <w:rPr>
                <w:b/>
              </w:rPr>
              <w:t>P</w:t>
            </w:r>
            <w:r w:rsidRPr="00767A8D">
              <w:rPr>
                <w:b/>
              </w:rPr>
              <w:t xml:space="preserve">otential </w:t>
            </w:r>
          </w:p>
        </w:tc>
        <w:tc>
          <w:tcPr>
            <w:tcW w:w="3151" w:type="dxa"/>
            <w:vAlign w:val="top"/>
          </w:tcPr>
          <w:p w:rsidR="001D1810" w:rsidRPr="00622A3D" w:rsidRDefault="001D1810" w:rsidP="0057495B">
            <w:pPr>
              <w:pStyle w:val="Tables"/>
              <w:jc w:val="left"/>
              <w:cnfStyle w:val="000000010000" w:firstRow="0" w:lastRow="0" w:firstColumn="0" w:lastColumn="0" w:oddVBand="0" w:evenVBand="0" w:oddHBand="0" w:evenHBand="1" w:firstRowFirstColumn="0" w:firstRowLastColumn="0" w:lastRowFirstColumn="0" w:lastRowLastColumn="0"/>
            </w:pPr>
            <w:r w:rsidRPr="00622A3D">
              <w:t>Minimal No need for further development at present</w:t>
            </w:r>
          </w:p>
        </w:tc>
        <w:tc>
          <w:tcPr>
            <w:tcW w:w="2480" w:type="dxa"/>
            <w:vAlign w:val="top"/>
          </w:tcPr>
          <w:p w:rsidR="001D1810" w:rsidRPr="00622A3D" w:rsidRDefault="001D1810" w:rsidP="0057495B">
            <w:pPr>
              <w:pStyle w:val="Tables"/>
              <w:jc w:val="left"/>
              <w:cnfStyle w:val="000000010000" w:firstRow="0" w:lastRow="0" w:firstColumn="0" w:lastColumn="0" w:oddVBand="0" w:evenVBand="0" w:oddHBand="0" w:evenHBand="1" w:firstRowFirstColumn="0" w:firstRowLastColumn="0" w:lastRowFirstColumn="0" w:lastRowLastColumn="0"/>
            </w:pPr>
            <w:r w:rsidRPr="00622A3D">
              <w:t xml:space="preserve">Potential to expand  terminal space, Presently in discussions on expansion plans with TasPorts </w:t>
            </w:r>
            <w:r>
              <w:t>and</w:t>
            </w:r>
            <w:r w:rsidRPr="00622A3D">
              <w:t xml:space="preserve"> TasRail</w:t>
            </w:r>
          </w:p>
        </w:tc>
        <w:tc>
          <w:tcPr>
            <w:tcW w:w="3566" w:type="dxa"/>
            <w:vAlign w:val="top"/>
          </w:tcPr>
          <w:p w:rsidR="001D1810" w:rsidRPr="00622A3D" w:rsidRDefault="001D1810" w:rsidP="0057495B">
            <w:pPr>
              <w:pStyle w:val="Tables"/>
              <w:jc w:val="left"/>
              <w:cnfStyle w:val="000000010000" w:firstRow="0" w:lastRow="0" w:firstColumn="0" w:lastColumn="0" w:oddVBand="0" w:evenVBand="0" w:oddHBand="0" w:evenHBand="1" w:firstRowFirstColumn="0" w:firstRowLastColumn="0" w:lastRowFirstColumn="0" w:lastRowLastColumn="0"/>
            </w:pPr>
            <w:r w:rsidRPr="00622A3D">
              <w:t>Not utilized but adequate. Limited ability to expand to hinterland due to significant ridge at rear of narrow terminal</w:t>
            </w:r>
          </w:p>
        </w:tc>
      </w:tr>
      <w:tr w:rsidR="001D1810" w:rsidRPr="006C4E82" w:rsidTr="00A52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vAlign w:val="top"/>
          </w:tcPr>
          <w:p w:rsidR="001D1810" w:rsidRPr="00767A8D" w:rsidRDefault="001D1810" w:rsidP="0057495B">
            <w:pPr>
              <w:pStyle w:val="Tables"/>
              <w:jc w:val="left"/>
              <w:rPr>
                <w:b/>
              </w:rPr>
            </w:pPr>
            <w:r w:rsidRPr="00767A8D">
              <w:rPr>
                <w:b/>
              </w:rPr>
              <w:t xml:space="preserve">Other </w:t>
            </w:r>
            <w:r w:rsidR="006C63E9">
              <w:rPr>
                <w:b/>
              </w:rPr>
              <w:t>F</w:t>
            </w:r>
            <w:r w:rsidRPr="00767A8D">
              <w:rPr>
                <w:b/>
              </w:rPr>
              <w:t xml:space="preserve">eatures </w:t>
            </w:r>
          </w:p>
        </w:tc>
        <w:tc>
          <w:tcPr>
            <w:tcW w:w="3151" w:type="dxa"/>
            <w:vAlign w:val="top"/>
          </w:tcPr>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Navigation to and from port in relatively short time. Tidal currents are not an issue</w:t>
            </w:r>
          </w:p>
        </w:tc>
        <w:tc>
          <w:tcPr>
            <w:tcW w:w="2480" w:type="dxa"/>
            <w:vAlign w:val="top"/>
          </w:tcPr>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Navigation to and from port very quick due to coastal port</w:t>
            </w:r>
          </w:p>
        </w:tc>
        <w:tc>
          <w:tcPr>
            <w:tcW w:w="3566" w:type="dxa"/>
            <w:vAlign w:val="top"/>
          </w:tcPr>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Navigation to and from port takes relatively long time due to river transit. Also bar at mouth which is tidal with strong currents. Fog an issue for several days each year</w:t>
            </w:r>
          </w:p>
        </w:tc>
      </w:tr>
      <w:tr w:rsidR="001D1810" w:rsidRPr="006C4E82" w:rsidTr="00A521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vAlign w:val="top"/>
          </w:tcPr>
          <w:p w:rsidR="001D1810" w:rsidRPr="00767A8D" w:rsidRDefault="001D1810" w:rsidP="0057495B">
            <w:pPr>
              <w:pStyle w:val="Tables"/>
              <w:jc w:val="left"/>
              <w:rPr>
                <w:b/>
              </w:rPr>
            </w:pPr>
            <w:r w:rsidRPr="00767A8D">
              <w:rPr>
                <w:b/>
              </w:rPr>
              <w:t xml:space="preserve">* Freight </w:t>
            </w:r>
            <w:r w:rsidR="006C63E9">
              <w:rPr>
                <w:b/>
              </w:rPr>
              <w:t>T</w:t>
            </w:r>
            <w:r w:rsidRPr="00767A8D">
              <w:rPr>
                <w:b/>
              </w:rPr>
              <w:t>hroughput</w:t>
            </w:r>
          </w:p>
        </w:tc>
        <w:tc>
          <w:tcPr>
            <w:tcW w:w="3151" w:type="dxa"/>
            <w:vAlign w:val="top"/>
          </w:tcPr>
          <w:p w:rsidR="001D1810" w:rsidRPr="00622A3D" w:rsidRDefault="001D1810" w:rsidP="0057495B">
            <w:pPr>
              <w:pStyle w:val="Tables"/>
              <w:jc w:val="left"/>
              <w:cnfStyle w:val="000000010000" w:firstRow="0" w:lastRow="0" w:firstColumn="0" w:lastColumn="0" w:oddVBand="0" w:evenVBand="0" w:oddHBand="0" w:evenHBand="1" w:firstRowFirstColumn="0" w:firstRowLastColumn="0" w:lastRowFirstColumn="0" w:lastRowLastColumn="0"/>
            </w:pPr>
            <w:r w:rsidRPr="00622A3D">
              <w:t>3.35 M tonnes + 200,695 TEU</w:t>
            </w:r>
          </w:p>
        </w:tc>
        <w:tc>
          <w:tcPr>
            <w:tcW w:w="2480" w:type="dxa"/>
            <w:vAlign w:val="top"/>
          </w:tcPr>
          <w:p w:rsidR="001D1810" w:rsidRPr="00622A3D" w:rsidRDefault="001D1810" w:rsidP="0057495B">
            <w:pPr>
              <w:pStyle w:val="Tables"/>
              <w:jc w:val="left"/>
              <w:cnfStyle w:val="000000010000" w:firstRow="0" w:lastRow="0" w:firstColumn="0" w:lastColumn="0" w:oddVBand="0" w:evenVBand="0" w:oddHBand="0" w:evenHBand="1" w:firstRowFirstColumn="0" w:firstRowLastColumn="0" w:lastRowFirstColumn="0" w:lastRowLastColumn="0"/>
            </w:pPr>
            <w:r w:rsidRPr="00622A3D">
              <w:t>3.74 M tonnes + 242,284 TEU</w:t>
            </w:r>
          </w:p>
        </w:tc>
        <w:tc>
          <w:tcPr>
            <w:tcW w:w="3566" w:type="dxa"/>
            <w:vAlign w:val="top"/>
          </w:tcPr>
          <w:p w:rsidR="001D1810" w:rsidRPr="00622A3D" w:rsidRDefault="001D1810" w:rsidP="0057495B">
            <w:pPr>
              <w:pStyle w:val="Tables"/>
              <w:jc w:val="left"/>
              <w:cnfStyle w:val="000000010000" w:firstRow="0" w:lastRow="0" w:firstColumn="0" w:lastColumn="0" w:oddVBand="0" w:evenVBand="0" w:oddHBand="0" w:evenHBand="1" w:firstRowFirstColumn="0" w:firstRowLastColumn="0" w:lastRowFirstColumn="0" w:lastRowLastColumn="0"/>
            </w:pPr>
            <w:r w:rsidRPr="00622A3D">
              <w:t>2.33 M tonnes + 5,885 TEU</w:t>
            </w:r>
          </w:p>
        </w:tc>
      </w:tr>
      <w:tr w:rsidR="001D1810" w:rsidRPr="006C4E82" w:rsidTr="00A52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vAlign w:val="top"/>
          </w:tcPr>
          <w:p w:rsidR="001D1810" w:rsidRPr="00767A8D" w:rsidRDefault="001D1810" w:rsidP="006C63E9">
            <w:pPr>
              <w:pStyle w:val="Tables"/>
              <w:jc w:val="left"/>
              <w:rPr>
                <w:b/>
              </w:rPr>
            </w:pPr>
            <w:r w:rsidRPr="00767A8D">
              <w:rPr>
                <w:b/>
              </w:rPr>
              <w:t xml:space="preserve">Access to </w:t>
            </w:r>
            <w:r w:rsidR="006C63E9">
              <w:rPr>
                <w:b/>
              </w:rPr>
              <w:t>P</w:t>
            </w:r>
            <w:r w:rsidRPr="00767A8D">
              <w:rPr>
                <w:b/>
              </w:rPr>
              <w:t xml:space="preserve">opulation &amp; </w:t>
            </w:r>
            <w:r w:rsidR="006C63E9">
              <w:rPr>
                <w:b/>
              </w:rPr>
              <w:t>I</w:t>
            </w:r>
            <w:r w:rsidRPr="00767A8D">
              <w:rPr>
                <w:b/>
              </w:rPr>
              <w:t xml:space="preserve">ndustrial </w:t>
            </w:r>
            <w:r w:rsidR="006C63E9">
              <w:rPr>
                <w:b/>
              </w:rPr>
              <w:t>A</w:t>
            </w:r>
            <w:r w:rsidRPr="00767A8D">
              <w:rPr>
                <w:b/>
              </w:rPr>
              <w:t xml:space="preserve">rea </w:t>
            </w:r>
          </w:p>
        </w:tc>
        <w:tc>
          <w:tcPr>
            <w:tcW w:w="3151" w:type="dxa"/>
            <w:vAlign w:val="top"/>
          </w:tcPr>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Limited population; but  industries in hinterland</w:t>
            </w:r>
          </w:p>
        </w:tc>
        <w:tc>
          <w:tcPr>
            <w:tcW w:w="2480" w:type="dxa"/>
            <w:vAlign w:val="top"/>
          </w:tcPr>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Limited population; but industries in hinterland</w:t>
            </w:r>
          </w:p>
        </w:tc>
        <w:tc>
          <w:tcPr>
            <w:tcW w:w="3566" w:type="dxa"/>
            <w:vAlign w:val="top"/>
          </w:tcPr>
          <w:p w:rsidR="001D1810" w:rsidRPr="00622A3D" w:rsidRDefault="001D1810" w:rsidP="0057495B">
            <w:pPr>
              <w:pStyle w:val="Tables"/>
              <w:jc w:val="left"/>
              <w:cnfStyle w:val="000000100000" w:firstRow="0" w:lastRow="0" w:firstColumn="0" w:lastColumn="0" w:oddVBand="0" w:evenVBand="0" w:oddHBand="1" w:evenHBand="0" w:firstRowFirstColumn="0" w:firstRowLastColumn="0" w:lastRowFirstColumn="0" w:lastRowLastColumn="0"/>
            </w:pPr>
            <w:r w:rsidRPr="00622A3D">
              <w:t>Close to Launceston and main population centres of North Tasmania</w:t>
            </w:r>
          </w:p>
        </w:tc>
      </w:tr>
      <w:tr w:rsidR="001D1810" w:rsidRPr="006C4E82" w:rsidTr="00A521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Borders>
              <w:bottom w:val="single" w:sz="4" w:space="0" w:color="A6A6A6" w:themeColor="background1" w:themeShade="A6"/>
            </w:tcBorders>
            <w:vAlign w:val="top"/>
          </w:tcPr>
          <w:p w:rsidR="001D1810" w:rsidRPr="00767A8D" w:rsidRDefault="001D1810" w:rsidP="0057495B">
            <w:pPr>
              <w:pStyle w:val="Tables"/>
              <w:jc w:val="left"/>
              <w:rPr>
                <w:b/>
              </w:rPr>
            </w:pPr>
            <w:r w:rsidRPr="00767A8D">
              <w:rPr>
                <w:b/>
              </w:rPr>
              <w:t xml:space="preserve">Road &amp; </w:t>
            </w:r>
            <w:r w:rsidR="006C63E9">
              <w:rPr>
                <w:b/>
              </w:rPr>
              <w:t>R</w:t>
            </w:r>
            <w:r w:rsidRPr="00767A8D">
              <w:rPr>
                <w:b/>
              </w:rPr>
              <w:t xml:space="preserve">ail </w:t>
            </w:r>
            <w:r w:rsidR="006C63E9">
              <w:rPr>
                <w:b/>
              </w:rPr>
              <w:t>L</w:t>
            </w:r>
            <w:r w:rsidRPr="00767A8D">
              <w:rPr>
                <w:b/>
              </w:rPr>
              <w:t xml:space="preserve">inks to </w:t>
            </w:r>
            <w:r w:rsidR="006C63E9">
              <w:rPr>
                <w:b/>
              </w:rPr>
              <w:t>P</w:t>
            </w:r>
            <w:r w:rsidRPr="00767A8D">
              <w:rPr>
                <w:b/>
              </w:rPr>
              <w:t>ort</w:t>
            </w:r>
          </w:p>
        </w:tc>
        <w:tc>
          <w:tcPr>
            <w:tcW w:w="3151" w:type="dxa"/>
            <w:tcBorders>
              <w:bottom w:val="single" w:sz="4" w:space="0" w:color="A6A6A6" w:themeColor="background1" w:themeShade="A6"/>
            </w:tcBorders>
            <w:vAlign w:val="top"/>
          </w:tcPr>
          <w:p w:rsidR="001D1810" w:rsidRPr="00622A3D" w:rsidRDefault="001D1810" w:rsidP="0057495B">
            <w:pPr>
              <w:pStyle w:val="Tables"/>
              <w:jc w:val="left"/>
              <w:cnfStyle w:val="000000010000" w:firstRow="0" w:lastRow="0" w:firstColumn="0" w:lastColumn="0" w:oddVBand="0" w:evenVBand="0" w:oddHBand="0" w:evenHBand="1" w:firstRowFirstColumn="0" w:firstRowLastColumn="0" w:lastRowFirstColumn="0" w:lastRowLastColumn="0"/>
            </w:pPr>
            <w:r w:rsidRPr="00622A3D">
              <w:t>Good road link; no rail link on dock on eastern side. Rail link on western side</w:t>
            </w:r>
          </w:p>
        </w:tc>
        <w:tc>
          <w:tcPr>
            <w:tcW w:w="2480" w:type="dxa"/>
            <w:tcBorders>
              <w:bottom w:val="single" w:sz="4" w:space="0" w:color="A6A6A6" w:themeColor="background1" w:themeShade="A6"/>
            </w:tcBorders>
            <w:vAlign w:val="top"/>
          </w:tcPr>
          <w:p w:rsidR="001D1810" w:rsidRPr="00622A3D" w:rsidRDefault="001D1810" w:rsidP="0057495B">
            <w:pPr>
              <w:pStyle w:val="Tables"/>
              <w:jc w:val="left"/>
              <w:cnfStyle w:val="000000010000" w:firstRow="0" w:lastRow="0" w:firstColumn="0" w:lastColumn="0" w:oddVBand="0" w:evenVBand="0" w:oddHBand="0" w:evenHBand="1" w:firstRowFirstColumn="0" w:firstRowLastColumn="0" w:lastRowFirstColumn="0" w:lastRowLastColumn="0"/>
            </w:pPr>
            <w:r w:rsidRPr="00622A3D">
              <w:t>Good road link. Good rail link on dock with plans to upgrade</w:t>
            </w:r>
          </w:p>
        </w:tc>
        <w:tc>
          <w:tcPr>
            <w:tcW w:w="3566" w:type="dxa"/>
            <w:tcBorders>
              <w:bottom w:val="single" w:sz="4" w:space="0" w:color="A6A6A6" w:themeColor="background1" w:themeShade="A6"/>
            </w:tcBorders>
            <w:vAlign w:val="top"/>
          </w:tcPr>
          <w:p w:rsidR="001D1810" w:rsidRPr="00622A3D" w:rsidRDefault="001D1810" w:rsidP="0057495B">
            <w:pPr>
              <w:pStyle w:val="Tables"/>
              <w:keepNext/>
              <w:jc w:val="left"/>
              <w:cnfStyle w:val="000000010000" w:firstRow="0" w:lastRow="0" w:firstColumn="0" w:lastColumn="0" w:oddVBand="0" w:evenVBand="0" w:oddHBand="0" w:evenHBand="1" w:firstRowFirstColumn="0" w:firstRowLastColumn="0" w:lastRowFirstColumn="0" w:lastRowLastColumn="0"/>
            </w:pPr>
            <w:r w:rsidRPr="00622A3D">
              <w:t>Good road link; but Limited and poor quality rail on dock</w:t>
            </w:r>
          </w:p>
        </w:tc>
      </w:tr>
      <w:tr w:rsidR="001D1810" w:rsidRPr="006C4E82" w:rsidTr="00A52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6" w:type="dxa"/>
            <w:gridSpan w:val="4"/>
            <w:tcBorders>
              <w:left w:val="nil"/>
              <w:bottom w:val="nil"/>
              <w:right w:val="nil"/>
            </w:tcBorders>
            <w:shd w:val="clear" w:color="auto" w:fill="auto"/>
            <w:vAlign w:val="top"/>
          </w:tcPr>
          <w:p w:rsidR="001D1810" w:rsidRPr="00622A3D" w:rsidRDefault="001D1810" w:rsidP="00747377">
            <w:pPr>
              <w:pStyle w:val="Tables"/>
              <w:keepNext/>
              <w:jc w:val="left"/>
            </w:pPr>
            <w:r>
              <w:rPr>
                <w:i/>
              </w:rPr>
              <w:t>Source: TasP</w:t>
            </w:r>
            <w:r w:rsidRPr="000F0A21">
              <w:rPr>
                <w:i/>
              </w:rPr>
              <w:t>ort’s</w:t>
            </w:r>
            <w:r>
              <w:rPr>
                <w:i/>
              </w:rPr>
              <w:t xml:space="preserve"> </w:t>
            </w:r>
            <w:r w:rsidRPr="000F0A21">
              <w:rPr>
                <w:i/>
              </w:rPr>
              <w:t>2011/2012 Annual Review publication</w:t>
            </w:r>
          </w:p>
        </w:tc>
      </w:tr>
    </w:tbl>
    <w:p w:rsidR="00747377" w:rsidRDefault="00747377">
      <w:pPr>
        <w:pStyle w:val="Caption"/>
      </w:pPr>
      <w:bookmarkStart w:id="212" w:name="_Ref366767321"/>
      <w:bookmarkStart w:id="213" w:name="_Toc366769132"/>
      <w:bookmarkStart w:id="214" w:name="_Ref358720357"/>
      <w:r>
        <w:t xml:space="preserve">Table </w:t>
      </w:r>
      <w:r w:rsidR="00CA7023">
        <w:fldChar w:fldCharType="begin"/>
      </w:r>
      <w:r>
        <w:instrText xml:space="preserve"> SEQ Table \* ARABIC </w:instrText>
      </w:r>
      <w:r w:rsidR="00CA7023">
        <w:fldChar w:fldCharType="separate"/>
      </w:r>
      <w:r w:rsidR="00FF5EB2">
        <w:rPr>
          <w:noProof/>
        </w:rPr>
        <w:t>15</w:t>
      </w:r>
      <w:r w:rsidR="00CA7023">
        <w:fldChar w:fldCharType="end"/>
      </w:r>
      <w:bookmarkEnd w:id="212"/>
      <w:r>
        <w:t xml:space="preserve">: </w:t>
      </w:r>
      <w:r w:rsidRPr="00251209">
        <w:t>Comparison of Port Features</w:t>
      </w:r>
      <w:bookmarkEnd w:id="213"/>
    </w:p>
    <w:p w:rsidR="001D1810" w:rsidRDefault="001D1810" w:rsidP="0040197A">
      <w:pPr>
        <w:pStyle w:val="Heading2"/>
      </w:pPr>
      <w:bookmarkStart w:id="215" w:name="_Toc364154096"/>
      <w:bookmarkStart w:id="216" w:name="_Toc367700242"/>
      <w:bookmarkEnd w:id="214"/>
      <w:r w:rsidRPr="00DA041E">
        <w:t xml:space="preserve">Commentary Tasmania’s </w:t>
      </w:r>
      <w:r>
        <w:t>N</w:t>
      </w:r>
      <w:r w:rsidRPr="00DA041E">
        <w:t xml:space="preserve">orthern </w:t>
      </w:r>
      <w:r>
        <w:t>P</w:t>
      </w:r>
      <w:r w:rsidRPr="00DA041E">
        <w:t>orts</w:t>
      </w:r>
      <w:bookmarkEnd w:id="215"/>
      <w:bookmarkEnd w:id="216"/>
    </w:p>
    <w:p w:rsidR="001D1810" w:rsidRPr="00AC5464" w:rsidRDefault="001D1810" w:rsidP="001D1810">
      <w:r>
        <w:t>We make a range of comments on each of the northern ports.</w:t>
      </w:r>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1926"/>
        <w:gridCol w:w="7262"/>
      </w:tblGrid>
      <w:tr w:rsidR="001D1810" w:rsidRPr="00D75FE8" w:rsidTr="0057495B">
        <w:trPr>
          <w:trHeight w:val="557"/>
        </w:trPr>
        <w:tc>
          <w:tcPr>
            <w:tcW w:w="1926" w:type="dxa"/>
            <w:shd w:val="clear" w:color="auto" w:fill="EFF0EF" w:themeFill="accent4"/>
            <w:vAlign w:val="center"/>
          </w:tcPr>
          <w:p w:rsidR="001D1810" w:rsidRPr="00F91EAD" w:rsidRDefault="001D1810" w:rsidP="0057495B">
            <w:pPr>
              <w:pStyle w:val="ListParagraph"/>
              <w:spacing w:before="0" w:after="0"/>
              <w:ind w:left="0" w:right="-62"/>
              <w:jc w:val="center"/>
              <w:rPr>
                <w:b/>
              </w:rPr>
            </w:pPr>
            <w:r w:rsidRPr="00F91EAD">
              <w:rPr>
                <w:b/>
              </w:rPr>
              <w:t>Observation</w:t>
            </w:r>
          </w:p>
        </w:tc>
        <w:tc>
          <w:tcPr>
            <w:tcW w:w="7262" w:type="dxa"/>
            <w:shd w:val="clear" w:color="auto" w:fill="auto"/>
            <w:vAlign w:val="center"/>
          </w:tcPr>
          <w:p w:rsidR="001D1810" w:rsidRPr="00F91EAD" w:rsidRDefault="001D1810" w:rsidP="0057495B">
            <w:pPr>
              <w:spacing w:before="0" w:after="0"/>
              <w:ind w:right="-62"/>
              <w:jc w:val="center"/>
              <w:rPr>
                <w:b/>
              </w:rPr>
            </w:pPr>
            <w:r w:rsidRPr="00F91EAD">
              <w:rPr>
                <w:b/>
              </w:rPr>
              <w:t>Comment</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Height w:val="1600"/>
        </w:trPr>
        <w:tc>
          <w:tcPr>
            <w:tcW w:w="1926" w:type="dxa"/>
            <w:shd w:val="clear" w:color="auto" w:fill="EFF0EF" w:themeFill="accent4"/>
          </w:tcPr>
          <w:p w:rsidR="001D1810" w:rsidRPr="00767A8D" w:rsidRDefault="001D1810" w:rsidP="0057495B">
            <w:pPr>
              <w:pStyle w:val="Tables"/>
              <w:jc w:val="left"/>
              <w:rPr>
                <w:rFonts w:eastAsiaTheme="majorEastAsia"/>
                <w:b/>
                <w:bCs/>
                <w:color w:val="7AB800" w:themeColor="accent1"/>
              </w:rPr>
            </w:pPr>
            <w:r w:rsidRPr="00767A8D">
              <w:rPr>
                <w:b/>
              </w:rPr>
              <w:t>Port locations</w:t>
            </w:r>
          </w:p>
        </w:tc>
        <w:tc>
          <w:tcPr>
            <w:tcW w:w="7262" w:type="dxa"/>
            <w:shd w:val="clear" w:color="auto" w:fill="auto"/>
          </w:tcPr>
          <w:p w:rsidR="001D1810" w:rsidRPr="006C4E82" w:rsidRDefault="001D1810" w:rsidP="00465C60">
            <w:pPr>
              <w:pStyle w:val="Bullet1"/>
              <w:numPr>
                <w:ilvl w:val="0"/>
                <w:numId w:val="0"/>
              </w:numPr>
              <w:rPr>
                <w:rFonts w:eastAsiaTheme="majorEastAsia"/>
                <w:b/>
                <w:bCs/>
                <w:color w:val="7AB800" w:themeColor="accent1"/>
              </w:rPr>
            </w:pPr>
            <w:r>
              <w:t>P</w:t>
            </w:r>
            <w:r w:rsidRPr="006C4E82">
              <w:t>orts that have long river transits are not attractive to a</w:t>
            </w:r>
            <w:r>
              <w:t>n</w:t>
            </w:r>
            <w:r w:rsidRPr="006C4E82">
              <w:t xml:space="preserve"> </w:t>
            </w:r>
            <w:r>
              <w:t>International L</w:t>
            </w:r>
            <w:r w:rsidRPr="006C4E82">
              <w:t xml:space="preserve">iner </w:t>
            </w:r>
            <w:r>
              <w:t>shipping</w:t>
            </w:r>
            <w:r w:rsidRPr="006C4E82">
              <w:t xml:space="preserve"> service</w:t>
            </w:r>
            <w:r>
              <w:t xml:space="preserve"> </w:t>
            </w:r>
            <w:r w:rsidRPr="006C4E82">
              <w:t>because of the importance of maintaining schedules. Delays and issues with river navigation, draft limitations, bends, turning areas, traffic congestion, and fatigue on the crew etc., make river transits less desirable.</w:t>
            </w:r>
          </w:p>
          <w:p w:rsidR="001D1810" w:rsidRDefault="001D1810" w:rsidP="00465C60">
            <w:pPr>
              <w:pStyle w:val="Bullet1"/>
              <w:numPr>
                <w:ilvl w:val="0"/>
                <w:numId w:val="0"/>
              </w:numPr>
              <w:rPr>
                <w:rFonts w:eastAsiaTheme="majorEastAsia"/>
                <w:b/>
                <w:bCs/>
                <w:color w:val="7AB800" w:themeColor="accent1"/>
              </w:rPr>
            </w:pPr>
            <w:r>
              <w:t>As</w:t>
            </w:r>
            <w:r w:rsidRPr="006C4E82">
              <w:t xml:space="preserve"> in many ports around the world, the container terminals have moved (or have been built) close to the mouth of the river</w:t>
            </w:r>
            <w:r>
              <w:t>. Also there is a</w:t>
            </w:r>
            <w:r w:rsidRPr="006C4E82">
              <w:t xml:space="preserve"> move away from urban areas where real estate values are very high. </w:t>
            </w:r>
          </w:p>
        </w:tc>
      </w:tr>
      <w:tr w:rsidR="001D1810" w:rsidRPr="00D75FE8" w:rsidTr="0057495B">
        <w:trPr>
          <w:trHeight w:val="1423"/>
        </w:trPr>
        <w:tc>
          <w:tcPr>
            <w:tcW w:w="1926" w:type="dxa"/>
            <w:shd w:val="clear" w:color="auto" w:fill="EFF0EF" w:themeFill="accent4"/>
          </w:tcPr>
          <w:p w:rsidR="001D1810" w:rsidRPr="00767A8D" w:rsidRDefault="001D1810" w:rsidP="0057495B">
            <w:pPr>
              <w:pStyle w:val="Tables"/>
              <w:jc w:val="left"/>
              <w:rPr>
                <w:b/>
              </w:rPr>
            </w:pPr>
            <w:r w:rsidRPr="00767A8D">
              <w:rPr>
                <w:b/>
              </w:rPr>
              <w:t xml:space="preserve">Port </w:t>
            </w:r>
            <w:r w:rsidR="006C63E9">
              <w:rPr>
                <w:b/>
              </w:rPr>
              <w:t>L</w:t>
            </w:r>
            <w:r w:rsidRPr="00767A8D">
              <w:rPr>
                <w:b/>
              </w:rPr>
              <w:t xml:space="preserve">ocation </w:t>
            </w:r>
            <w:r w:rsidR="006C63E9">
              <w:rPr>
                <w:b/>
              </w:rPr>
              <w:t>C</w:t>
            </w:r>
            <w:r w:rsidRPr="00767A8D">
              <w:rPr>
                <w:b/>
              </w:rPr>
              <w:t>omparison</w:t>
            </w:r>
          </w:p>
        </w:tc>
        <w:tc>
          <w:tcPr>
            <w:tcW w:w="7262" w:type="dxa"/>
            <w:shd w:val="clear" w:color="auto" w:fill="auto"/>
          </w:tcPr>
          <w:p w:rsidR="001D1810" w:rsidRDefault="001D1810" w:rsidP="00465C60">
            <w:pPr>
              <w:pStyle w:val="Bullet1"/>
              <w:numPr>
                <w:ilvl w:val="0"/>
                <w:numId w:val="0"/>
              </w:numPr>
              <w:rPr>
                <w:rFonts w:eastAsiaTheme="majorEastAsia"/>
                <w:b/>
                <w:bCs/>
                <w:color w:val="7AB800" w:themeColor="accent1"/>
              </w:rPr>
            </w:pPr>
            <w:r w:rsidRPr="006C4E82">
              <w:t>Bell Bay is not well positioned compared to Devonport and Burnie</w:t>
            </w:r>
            <w:r>
              <w:t xml:space="preserve"> and</w:t>
            </w:r>
            <w:r w:rsidRPr="006C4E82">
              <w:t xml:space="preserve"> has some shallow outcrops in the river and strong currents at the </w:t>
            </w:r>
            <w:r>
              <w:t xml:space="preserve">rivers </w:t>
            </w:r>
            <w:r w:rsidRPr="006C4E82">
              <w:t xml:space="preserve">entrance. </w:t>
            </w:r>
            <w:r>
              <w:t>T</w:t>
            </w:r>
            <w:r w:rsidRPr="006C4E82">
              <w:t xml:space="preserve">he mouth of river is affected by fog on certain days. The Tamar River is narrow and has some sharp bends, which causes some navigational difficulties. </w:t>
            </w:r>
          </w:p>
          <w:p w:rsidR="001D1810" w:rsidRDefault="001D1810" w:rsidP="00465C60">
            <w:pPr>
              <w:pStyle w:val="Bullet1"/>
              <w:numPr>
                <w:ilvl w:val="0"/>
                <w:numId w:val="0"/>
              </w:numPr>
              <w:rPr>
                <w:rFonts w:eastAsiaTheme="majorEastAsia"/>
                <w:b/>
                <w:bCs/>
                <w:color w:val="7AB800" w:themeColor="accent1"/>
              </w:rPr>
            </w:pPr>
            <w:r>
              <w:t>These</w:t>
            </w:r>
            <w:r w:rsidRPr="006C4E82">
              <w:t xml:space="preserve"> could b</w:t>
            </w:r>
            <w:r>
              <w:t>e</w:t>
            </w:r>
            <w:r w:rsidRPr="006C4E82">
              <w:t xml:space="preserve"> limiting factor</w:t>
            </w:r>
            <w:r>
              <w:t>s</w:t>
            </w:r>
            <w:r w:rsidRPr="006C4E82">
              <w:t xml:space="preserve"> i</w:t>
            </w:r>
            <w:r>
              <w:t>n</w:t>
            </w:r>
            <w:r w:rsidRPr="006C4E82">
              <w:t xml:space="preserve"> large vessels call</w:t>
            </w:r>
            <w:r>
              <w:t>ing</w:t>
            </w:r>
            <w:r w:rsidRPr="006C4E82">
              <w:t xml:space="preserve"> at Bell Bay in the future.</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Height w:val="990"/>
        </w:trPr>
        <w:tc>
          <w:tcPr>
            <w:tcW w:w="1926" w:type="dxa"/>
            <w:shd w:val="clear" w:color="auto" w:fill="EFF0EF" w:themeFill="accent4"/>
          </w:tcPr>
          <w:p w:rsidR="001D1810" w:rsidRPr="00767A8D" w:rsidRDefault="001D1810" w:rsidP="0057495B">
            <w:pPr>
              <w:pStyle w:val="Tables"/>
              <w:jc w:val="left"/>
              <w:rPr>
                <w:b/>
              </w:rPr>
            </w:pPr>
            <w:r w:rsidRPr="00767A8D">
              <w:rPr>
                <w:b/>
              </w:rPr>
              <w:t xml:space="preserve">Bell Bay </w:t>
            </w:r>
            <w:r w:rsidR="006C63E9">
              <w:rPr>
                <w:b/>
              </w:rPr>
              <w:t>D</w:t>
            </w:r>
            <w:r w:rsidRPr="00767A8D">
              <w:rPr>
                <w:b/>
              </w:rPr>
              <w:t xml:space="preserve">raft </w:t>
            </w:r>
            <w:r w:rsidR="006C63E9">
              <w:rPr>
                <w:b/>
              </w:rPr>
              <w:t>L</w:t>
            </w:r>
            <w:r w:rsidRPr="00767A8D">
              <w:rPr>
                <w:b/>
              </w:rPr>
              <w:t>imitation</w:t>
            </w:r>
          </w:p>
        </w:tc>
        <w:tc>
          <w:tcPr>
            <w:tcW w:w="7262" w:type="dxa"/>
            <w:shd w:val="clear" w:color="auto" w:fill="auto"/>
          </w:tcPr>
          <w:p w:rsidR="001D1810" w:rsidRDefault="001D1810" w:rsidP="00465C60">
            <w:pPr>
              <w:pStyle w:val="Bullet1"/>
              <w:numPr>
                <w:ilvl w:val="0"/>
                <w:numId w:val="0"/>
              </w:numPr>
              <w:rPr>
                <w:rFonts w:eastAsiaTheme="majorEastAsia"/>
                <w:b/>
                <w:bCs/>
                <w:color w:val="7AB800" w:themeColor="accent1"/>
              </w:rPr>
            </w:pPr>
            <w:r w:rsidRPr="006C4E82">
              <w:t xml:space="preserve">While there is a deeper draft available in the river it is the draft over the shallow outcrops near the entrance that limits a </w:t>
            </w:r>
            <w:r>
              <w:t>vessels arrival and departure so</w:t>
            </w:r>
            <w:r w:rsidRPr="006C4E82">
              <w:t xml:space="preserve"> </w:t>
            </w:r>
            <w:r>
              <w:t>vessel</w:t>
            </w:r>
            <w:r w:rsidRPr="006C4E82">
              <w:t xml:space="preserve">s have to wait for the high tide to enter or leave the river, which is not attractive to </w:t>
            </w:r>
            <w:r>
              <w:t>shipping</w:t>
            </w:r>
            <w:r w:rsidRPr="006C4E82">
              <w:t xml:space="preserve"> lines. </w:t>
            </w:r>
          </w:p>
        </w:tc>
      </w:tr>
      <w:tr w:rsidR="001D1810" w:rsidRPr="00D75FE8" w:rsidTr="008B1A70">
        <w:trPr>
          <w:trHeight w:val="2545"/>
        </w:trPr>
        <w:tc>
          <w:tcPr>
            <w:tcW w:w="1926" w:type="dxa"/>
            <w:shd w:val="clear" w:color="auto" w:fill="EFF0EF" w:themeFill="accent4"/>
          </w:tcPr>
          <w:p w:rsidR="001D1810" w:rsidRPr="00767A8D" w:rsidRDefault="001D1810" w:rsidP="0057495B">
            <w:pPr>
              <w:pStyle w:val="Tables"/>
              <w:jc w:val="left"/>
              <w:rPr>
                <w:b/>
              </w:rPr>
            </w:pPr>
            <w:r w:rsidRPr="00767A8D">
              <w:rPr>
                <w:b/>
              </w:rPr>
              <w:t xml:space="preserve">Bell Bay </w:t>
            </w:r>
            <w:r w:rsidR="006C63E9">
              <w:rPr>
                <w:b/>
              </w:rPr>
              <w:t>E</w:t>
            </w:r>
            <w:r w:rsidRPr="00767A8D">
              <w:rPr>
                <w:b/>
              </w:rPr>
              <w:t xml:space="preserve">xpansion </w:t>
            </w:r>
            <w:r w:rsidR="006C63E9">
              <w:rPr>
                <w:b/>
              </w:rPr>
              <w:t>C</w:t>
            </w:r>
            <w:r w:rsidRPr="00767A8D">
              <w:rPr>
                <w:b/>
              </w:rPr>
              <w:t>apacity</w:t>
            </w:r>
          </w:p>
        </w:tc>
        <w:tc>
          <w:tcPr>
            <w:tcW w:w="7262" w:type="dxa"/>
            <w:shd w:val="clear" w:color="auto" w:fill="auto"/>
          </w:tcPr>
          <w:p w:rsidR="001D1810" w:rsidRDefault="001D1810" w:rsidP="00465C60">
            <w:pPr>
              <w:pStyle w:val="Bullet1"/>
              <w:numPr>
                <w:ilvl w:val="0"/>
                <w:numId w:val="0"/>
              </w:numPr>
              <w:rPr>
                <w:rFonts w:eastAsiaTheme="majorEastAsia"/>
                <w:b/>
                <w:bCs/>
                <w:color w:val="7AB800" w:themeColor="accent1"/>
              </w:rPr>
            </w:pPr>
            <w:r w:rsidRPr="006C4E82">
              <w:t xml:space="preserve">While the container terminal at Bell Bay has adequate space for the </w:t>
            </w:r>
            <w:r>
              <w:t>current</w:t>
            </w:r>
            <w:r w:rsidRPr="006C4E82">
              <w:t xml:space="preserve"> imports and exports </w:t>
            </w:r>
            <w:r>
              <w:t>volumes</w:t>
            </w:r>
            <w:r w:rsidRPr="006C4E82">
              <w:t xml:space="preserve"> there is a limit on the how much that terminal can be expanded for future use due to the steep escarpment (ridge) very close to the present terminal. </w:t>
            </w:r>
          </w:p>
          <w:p w:rsidR="001D1810" w:rsidRPr="006C4E82" w:rsidRDefault="001D1810" w:rsidP="00465C60">
            <w:pPr>
              <w:pStyle w:val="Bullet1"/>
              <w:numPr>
                <w:ilvl w:val="0"/>
                <w:numId w:val="0"/>
              </w:numPr>
              <w:rPr>
                <w:rFonts w:eastAsiaTheme="majorEastAsia"/>
                <w:b/>
                <w:bCs/>
                <w:color w:val="7AB800" w:themeColor="accent1"/>
              </w:rPr>
            </w:pPr>
            <w:r>
              <w:t>In addition,</w:t>
            </w:r>
            <w:r w:rsidRPr="006C4E82">
              <w:t xml:space="preserve"> the rail connection </w:t>
            </w:r>
            <w:r>
              <w:t xml:space="preserve">to and </w:t>
            </w:r>
            <w:r w:rsidRPr="006C4E82">
              <w:t>from the container berth is very basic and not conducive to achieving terminal operations standards that are common a</w:t>
            </w:r>
            <w:r>
              <w:t xml:space="preserve">t world-class container ports. </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Height w:val="145"/>
        </w:trPr>
        <w:tc>
          <w:tcPr>
            <w:tcW w:w="1926" w:type="dxa"/>
            <w:shd w:val="clear" w:color="auto" w:fill="EFF0EF" w:themeFill="accent4"/>
          </w:tcPr>
          <w:p w:rsidR="001D1810" w:rsidRPr="00767A8D" w:rsidRDefault="001D1810" w:rsidP="0057495B">
            <w:pPr>
              <w:pStyle w:val="Tables"/>
              <w:jc w:val="left"/>
              <w:rPr>
                <w:b/>
              </w:rPr>
            </w:pPr>
            <w:r w:rsidRPr="00767A8D">
              <w:rPr>
                <w:b/>
              </w:rPr>
              <w:t xml:space="preserve">Devonport </w:t>
            </w:r>
            <w:r w:rsidR="006C63E9">
              <w:rPr>
                <w:b/>
              </w:rPr>
              <w:t>L</w:t>
            </w:r>
            <w:r w:rsidRPr="00767A8D">
              <w:rPr>
                <w:b/>
              </w:rPr>
              <w:t>imitations</w:t>
            </w:r>
          </w:p>
        </w:tc>
        <w:tc>
          <w:tcPr>
            <w:tcW w:w="7262" w:type="dxa"/>
            <w:shd w:val="clear" w:color="auto" w:fill="auto"/>
          </w:tcPr>
          <w:p w:rsidR="001D1810" w:rsidRDefault="001D1810" w:rsidP="00465C60">
            <w:pPr>
              <w:pStyle w:val="Bullet1"/>
              <w:numPr>
                <w:ilvl w:val="0"/>
                <w:numId w:val="0"/>
              </w:numPr>
              <w:rPr>
                <w:rFonts w:eastAsiaTheme="majorEastAsia"/>
                <w:b/>
                <w:bCs/>
                <w:color w:val="7AB800" w:themeColor="accent1"/>
              </w:rPr>
            </w:pPr>
            <w:r w:rsidRPr="006C4E82">
              <w:t xml:space="preserve">Devonport is also </w:t>
            </w:r>
            <w:r>
              <w:t xml:space="preserve">positioned </w:t>
            </w:r>
            <w:r w:rsidRPr="006C4E82">
              <w:t xml:space="preserve">up a river but the distance from the mouth is considerably shorter as compared to Bell Bay. However, there is a limitation on the length of </w:t>
            </w:r>
            <w:r>
              <w:t>vessel</w:t>
            </w:r>
            <w:r w:rsidRPr="006C4E82">
              <w:t xml:space="preserve"> that can utilize the port due to the turning basin area. </w:t>
            </w:r>
          </w:p>
          <w:p w:rsidR="001D1810" w:rsidRDefault="001D1810" w:rsidP="00465C60">
            <w:pPr>
              <w:pStyle w:val="Bullet1"/>
              <w:numPr>
                <w:ilvl w:val="0"/>
                <w:numId w:val="0"/>
              </w:numPr>
              <w:rPr>
                <w:rFonts w:eastAsiaTheme="majorEastAsia"/>
                <w:b/>
                <w:bCs/>
                <w:color w:val="7AB800" w:themeColor="accent1"/>
              </w:rPr>
            </w:pPr>
            <w:r w:rsidRPr="006C4E82">
              <w:t xml:space="preserve">The draft available is 9.0m, which is not suitable for the larger </w:t>
            </w:r>
            <w:r>
              <w:t>vessel</w:t>
            </w:r>
            <w:r w:rsidRPr="006C4E82">
              <w:t xml:space="preserve">s expected in the future. There is siltation at the mouth of the river, which needs dredging to </w:t>
            </w:r>
            <w:r>
              <w:t>maintain the depth for vessels.</w:t>
            </w:r>
            <w:r w:rsidRPr="006C4E82">
              <w:t xml:space="preserve"> </w:t>
            </w:r>
          </w:p>
          <w:p w:rsidR="001D1810" w:rsidRPr="006C4E82" w:rsidRDefault="001D1810" w:rsidP="00465C60">
            <w:pPr>
              <w:pStyle w:val="Bullet1"/>
              <w:numPr>
                <w:ilvl w:val="0"/>
                <w:numId w:val="0"/>
              </w:numPr>
              <w:rPr>
                <w:rFonts w:eastAsiaTheme="majorEastAsia"/>
                <w:b/>
                <w:bCs/>
                <w:color w:val="7AB800" w:themeColor="accent1"/>
              </w:rPr>
            </w:pPr>
            <w:r w:rsidRPr="006C4E82">
              <w:t>Devonport is not served by a rail link into the port and hence at present this would be a major disadvantage to developing the port as a major container port. However, it may be possible to install a good rail connection to the berths in the future.</w:t>
            </w:r>
          </w:p>
        </w:tc>
      </w:tr>
      <w:tr w:rsidR="001D1810" w:rsidRPr="00D75FE8" w:rsidTr="0057495B">
        <w:trPr>
          <w:trHeight w:val="145"/>
        </w:trPr>
        <w:tc>
          <w:tcPr>
            <w:tcW w:w="1926" w:type="dxa"/>
            <w:shd w:val="clear" w:color="auto" w:fill="EFF0EF" w:themeFill="accent4"/>
          </w:tcPr>
          <w:p w:rsidR="001D1810" w:rsidRPr="00767A8D" w:rsidRDefault="001D1810" w:rsidP="0057495B">
            <w:pPr>
              <w:pStyle w:val="Tables"/>
              <w:jc w:val="left"/>
              <w:rPr>
                <w:b/>
              </w:rPr>
            </w:pPr>
            <w:r w:rsidRPr="00767A8D">
              <w:rPr>
                <w:b/>
              </w:rPr>
              <w:t>Burnie</w:t>
            </w:r>
          </w:p>
        </w:tc>
        <w:tc>
          <w:tcPr>
            <w:tcW w:w="7262" w:type="dxa"/>
            <w:shd w:val="clear" w:color="auto" w:fill="auto"/>
          </w:tcPr>
          <w:p w:rsidR="001D1810" w:rsidRDefault="001D1810" w:rsidP="00465C60">
            <w:pPr>
              <w:pStyle w:val="Bullet1"/>
              <w:numPr>
                <w:ilvl w:val="0"/>
                <w:numId w:val="0"/>
              </w:numPr>
              <w:rPr>
                <w:rFonts w:eastAsiaTheme="majorEastAsia"/>
                <w:b/>
                <w:bCs/>
                <w:color w:val="7AB800" w:themeColor="accent1"/>
              </w:rPr>
            </w:pPr>
            <w:r w:rsidRPr="006C4E82">
              <w:t xml:space="preserve">Burnie is a coastal port and does not have the disadvantages of river ports. </w:t>
            </w:r>
          </w:p>
          <w:p w:rsidR="001D1810" w:rsidRDefault="001D1810" w:rsidP="00465C60">
            <w:pPr>
              <w:pStyle w:val="Bullet1"/>
              <w:numPr>
                <w:ilvl w:val="0"/>
                <w:numId w:val="0"/>
              </w:numPr>
              <w:rPr>
                <w:rFonts w:eastAsiaTheme="majorEastAsia"/>
                <w:b/>
                <w:bCs/>
                <w:color w:val="7AB800" w:themeColor="accent1"/>
              </w:rPr>
            </w:pPr>
            <w:r w:rsidRPr="006C4E82">
              <w:t>A sizeable part of the port of Burnie h</w:t>
            </w:r>
            <w:r>
              <w:t>as been built on reclaimed land with</w:t>
            </w:r>
            <w:r w:rsidRPr="006C4E82">
              <w:t xml:space="preserve"> ample opportunity to carry out further reclamation in or around the port if there is a need to expand the port. </w:t>
            </w:r>
          </w:p>
          <w:p w:rsidR="001D1810" w:rsidRPr="006C4E82" w:rsidRDefault="001D1810" w:rsidP="00465C60">
            <w:pPr>
              <w:pStyle w:val="Bullet1"/>
              <w:numPr>
                <w:ilvl w:val="0"/>
                <w:numId w:val="0"/>
              </w:numPr>
              <w:rPr>
                <w:rFonts w:eastAsiaTheme="majorEastAsia"/>
                <w:b/>
                <w:bCs/>
                <w:color w:val="7AB800" w:themeColor="accent1"/>
              </w:rPr>
            </w:pPr>
            <w:r w:rsidRPr="006C4E82">
              <w:t xml:space="preserve">The available draft of 11.5m is sufficient for bulk vessels up to Handy or Handymax size but it not sufficient for larger bulk vessels if the bulk trades through the port expand. </w:t>
            </w:r>
          </w:p>
          <w:p w:rsidR="001D1810" w:rsidRDefault="001D1810" w:rsidP="00465C60">
            <w:pPr>
              <w:pStyle w:val="Bullet1"/>
              <w:numPr>
                <w:ilvl w:val="0"/>
                <w:numId w:val="0"/>
              </w:numPr>
              <w:rPr>
                <w:rFonts w:eastAsiaTheme="majorEastAsia"/>
                <w:b/>
                <w:bCs/>
                <w:color w:val="7AB800" w:themeColor="accent1"/>
              </w:rPr>
            </w:pPr>
            <w:r w:rsidRPr="006C4E82">
              <w:t>The port is served by a good rail line that reaches to the berths</w:t>
            </w:r>
            <w:r>
              <w:t xml:space="preserve"> and there is </w:t>
            </w:r>
            <w:r w:rsidRPr="006C4E82">
              <w:t>a project underway to improve the rail-ro</w:t>
            </w:r>
            <w:r>
              <w:t xml:space="preserve">ad- berth interface in the port to </w:t>
            </w:r>
            <w:r w:rsidRPr="006C4E82">
              <w:t xml:space="preserve">improve port operational efficiency. </w:t>
            </w:r>
          </w:p>
          <w:p w:rsidR="001D1810" w:rsidRPr="006C4E82" w:rsidRDefault="001D1810" w:rsidP="00465C60">
            <w:pPr>
              <w:pStyle w:val="Bullet1"/>
              <w:numPr>
                <w:ilvl w:val="0"/>
                <w:numId w:val="0"/>
              </w:numPr>
              <w:rPr>
                <w:rFonts w:eastAsiaTheme="majorEastAsia"/>
                <w:b/>
                <w:bCs/>
                <w:color w:val="7AB800" w:themeColor="accent1"/>
              </w:rPr>
            </w:pPr>
            <w:r w:rsidRPr="006C4E82">
              <w:t xml:space="preserve">The hinterland of Burnie has some important industries that deal with bulk </w:t>
            </w:r>
            <w:r>
              <w:t>freight</w:t>
            </w:r>
            <w:r w:rsidRPr="006C4E82">
              <w:t>e</w:t>
            </w:r>
            <w:r>
              <w:t xml:space="preserve">rs so </w:t>
            </w:r>
            <w:r w:rsidRPr="00970024">
              <w:t>this aspect of the port’s capab</w:t>
            </w:r>
            <w:r>
              <w:t xml:space="preserve">ilities must not be overlooked </w:t>
            </w:r>
            <w:r w:rsidRPr="006C4E82">
              <w:t>when considering future port development</w:t>
            </w:r>
            <w:r>
              <w:t>.</w:t>
            </w:r>
            <w:r w:rsidRPr="006C4E82">
              <w:t xml:space="preserve"> </w:t>
            </w:r>
          </w:p>
        </w:tc>
      </w:tr>
    </w:tbl>
    <w:p w:rsidR="001D1810" w:rsidRDefault="001D1810" w:rsidP="0040197A">
      <w:pPr>
        <w:pStyle w:val="Heading2"/>
      </w:pPr>
      <w:bookmarkStart w:id="217" w:name="_Toc357761433"/>
      <w:bookmarkStart w:id="218" w:name="_Toc357761434"/>
      <w:bookmarkStart w:id="219" w:name="_Toc356482625"/>
      <w:bookmarkStart w:id="220" w:name="_Toc356483263"/>
      <w:bookmarkStart w:id="221" w:name="_Toc356483902"/>
      <w:bookmarkStart w:id="222" w:name="_Toc356482626"/>
      <w:bookmarkStart w:id="223" w:name="_Toc356483264"/>
      <w:bookmarkStart w:id="224" w:name="_Toc356483903"/>
      <w:bookmarkStart w:id="225" w:name="_Toc356482629"/>
      <w:bookmarkStart w:id="226" w:name="_Toc356483267"/>
      <w:bookmarkStart w:id="227" w:name="_Toc356483906"/>
      <w:bookmarkStart w:id="228" w:name="_Toc356482631"/>
      <w:bookmarkStart w:id="229" w:name="_Toc356483269"/>
      <w:bookmarkStart w:id="230" w:name="_Toc356483908"/>
      <w:bookmarkStart w:id="231" w:name="_Toc356482635"/>
      <w:bookmarkStart w:id="232" w:name="_Toc356483273"/>
      <w:bookmarkStart w:id="233" w:name="_Toc356483912"/>
      <w:bookmarkStart w:id="234" w:name="_Toc356482637"/>
      <w:bookmarkStart w:id="235" w:name="_Toc356483275"/>
      <w:bookmarkStart w:id="236" w:name="_Toc356483914"/>
      <w:bookmarkStart w:id="237" w:name="_Toc356482639"/>
      <w:bookmarkStart w:id="238" w:name="_Toc356483277"/>
      <w:bookmarkStart w:id="239" w:name="_Toc356483916"/>
      <w:bookmarkStart w:id="240" w:name="_Toc356482641"/>
      <w:bookmarkStart w:id="241" w:name="_Toc356483279"/>
      <w:bookmarkStart w:id="242" w:name="_Toc356483918"/>
      <w:bookmarkStart w:id="243" w:name="_Toc356482643"/>
      <w:bookmarkStart w:id="244" w:name="_Toc356483281"/>
      <w:bookmarkStart w:id="245" w:name="_Toc356483920"/>
      <w:bookmarkStart w:id="246" w:name="_Toc356482645"/>
      <w:bookmarkStart w:id="247" w:name="_Toc356483283"/>
      <w:bookmarkStart w:id="248" w:name="_Toc356483922"/>
      <w:bookmarkStart w:id="249" w:name="_Toc356482646"/>
      <w:bookmarkStart w:id="250" w:name="_Toc356483284"/>
      <w:bookmarkStart w:id="251" w:name="_Toc356483923"/>
      <w:bookmarkStart w:id="252" w:name="_Toc357761435"/>
      <w:bookmarkStart w:id="253" w:name="_Toc358228807"/>
      <w:bookmarkStart w:id="254" w:name="_Toc358361306"/>
      <w:bookmarkStart w:id="255" w:name="_Toc364154097"/>
      <w:bookmarkStart w:id="256" w:name="_Toc367700243"/>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t>Freight Specialisation of Tasmania’s Northern Ports</w:t>
      </w:r>
      <w:bookmarkEnd w:id="252"/>
      <w:bookmarkEnd w:id="253"/>
      <w:bookmarkEnd w:id="254"/>
      <w:bookmarkEnd w:id="255"/>
      <w:bookmarkEnd w:id="256"/>
    </w:p>
    <w:p w:rsidR="001D1810" w:rsidRDefault="001D1810" w:rsidP="001D1810">
      <w:r>
        <w:t>Aurecon was asked to comment on freight specialisation by port.  We make the following observations and comments.</w:t>
      </w:r>
      <w:r w:rsidRPr="007E5E03">
        <w:t xml:space="preserve"> </w:t>
      </w:r>
    </w:p>
    <w:p w:rsidR="001D1810" w:rsidRPr="00873460" w:rsidRDefault="001D1810" w:rsidP="001D1810">
      <w:r w:rsidRPr="006C4E82">
        <w:t>Th</w:t>
      </w:r>
      <w:r>
        <w:t>is</w:t>
      </w:r>
      <w:r w:rsidRPr="006C4E82">
        <w:t xml:space="preserve"> </w:t>
      </w:r>
      <w:r>
        <w:t xml:space="preserve">high level </w:t>
      </w:r>
      <w:r w:rsidRPr="006C4E82">
        <w:t>discussion is based on economic principles</w:t>
      </w:r>
      <w:r>
        <w:t xml:space="preserve"> as Aurecon </w:t>
      </w:r>
      <w:r w:rsidRPr="006C4E82">
        <w:t xml:space="preserve">do not have sufficient information to enable us to make an in-depth consideration to arrive at a definitive </w:t>
      </w:r>
      <w:r>
        <w:t>conclusion c</w:t>
      </w:r>
      <w:r w:rsidRPr="006C4E82">
        <w:t>onsidering future port developmen</w:t>
      </w:r>
      <w:r>
        <w:t>t.</w:t>
      </w:r>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1895"/>
        <w:gridCol w:w="7144"/>
      </w:tblGrid>
      <w:tr w:rsidR="001D1810" w:rsidRPr="00D75FE8" w:rsidTr="0057495B">
        <w:trPr>
          <w:trHeight w:val="511"/>
        </w:trPr>
        <w:tc>
          <w:tcPr>
            <w:tcW w:w="1895" w:type="dxa"/>
            <w:shd w:val="clear" w:color="auto" w:fill="EFF0EF" w:themeFill="accent4"/>
            <w:vAlign w:val="center"/>
          </w:tcPr>
          <w:p w:rsidR="001D1810" w:rsidRPr="00F91EAD" w:rsidRDefault="001D1810" w:rsidP="0057495B">
            <w:pPr>
              <w:pStyle w:val="ListParagraph"/>
              <w:spacing w:before="0" w:after="0"/>
              <w:ind w:left="0" w:right="-62"/>
              <w:jc w:val="center"/>
              <w:rPr>
                <w:b/>
              </w:rPr>
            </w:pPr>
            <w:r w:rsidRPr="00F91EAD">
              <w:rPr>
                <w:b/>
              </w:rPr>
              <w:t>Observation</w:t>
            </w:r>
          </w:p>
        </w:tc>
        <w:tc>
          <w:tcPr>
            <w:tcW w:w="7144" w:type="dxa"/>
            <w:shd w:val="clear" w:color="auto" w:fill="auto"/>
            <w:vAlign w:val="center"/>
          </w:tcPr>
          <w:p w:rsidR="001D1810" w:rsidRPr="00F91EAD" w:rsidRDefault="001D1810" w:rsidP="0057495B">
            <w:pPr>
              <w:spacing w:before="0" w:after="0"/>
              <w:ind w:right="-62"/>
              <w:jc w:val="center"/>
              <w:rPr>
                <w:b/>
              </w:rPr>
            </w:pPr>
            <w:r w:rsidRPr="00F91EAD">
              <w:rPr>
                <w:b/>
              </w:rPr>
              <w:t>Comment</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Height w:val="1483"/>
        </w:trPr>
        <w:tc>
          <w:tcPr>
            <w:tcW w:w="1895" w:type="dxa"/>
            <w:shd w:val="clear" w:color="auto" w:fill="EFF0EF" w:themeFill="accent4"/>
          </w:tcPr>
          <w:p w:rsidR="001D1810" w:rsidRPr="00767A8D" w:rsidRDefault="001D1810" w:rsidP="0057495B">
            <w:pPr>
              <w:pStyle w:val="Tables"/>
              <w:jc w:val="left"/>
              <w:rPr>
                <w:b/>
              </w:rPr>
            </w:pPr>
            <w:r w:rsidRPr="00767A8D">
              <w:rPr>
                <w:b/>
              </w:rPr>
              <w:t xml:space="preserve">Specialisation or </w:t>
            </w:r>
            <w:r w:rsidR="006C63E9">
              <w:rPr>
                <w:b/>
              </w:rPr>
              <w:t>C</w:t>
            </w:r>
            <w:r w:rsidRPr="00767A8D">
              <w:rPr>
                <w:b/>
              </w:rPr>
              <w:t>onsolidation</w:t>
            </w:r>
          </w:p>
        </w:tc>
        <w:tc>
          <w:tcPr>
            <w:tcW w:w="7144" w:type="dxa"/>
            <w:shd w:val="clear" w:color="auto" w:fill="auto"/>
          </w:tcPr>
          <w:p w:rsidR="001D1810" w:rsidRPr="006C4E82" w:rsidRDefault="001D1810" w:rsidP="00465C60">
            <w:pPr>
              <w:pStyle w:val="Bullet1"/>
              <w:numPr>
                <w:ilvl w:val="0"/>
                <w:numId w:val="0"/>
              </w:numPr>
              <w:rPr>
                <w:rFonts w:eastAsiaTheme="majorEastAsia"/>
                <w:b/>
                <w:bCs/>
                <w:color w:val="7AB800" w:themeColor="accent1"/>
              </w:rPr>
            </w:pPr>
            <w:r w:rsidRPr="006C4E82">
              <w:t xml:space="preserve">There is a </w:t>
            </w:r>
            <w:r>
              <w:t xml:space="preserve">question </w:t>
            </w:r>
            <w:r w:rsidRPr="006C4E82">
              <w:t xml:space="preserve">on the number of ports that are needed to serve northern Tasmania </w:t>
            </w:r>
            <w:r>
              <w:t>and be economically viable for owners, operators and users. There</w:t>
            </w:r>
            <w:r w:rsidRPr="006C4E82">
              <w:t xml:space="preserve"> may be a case for </w:t>
            </w:r>
            <w:r>
              <w:t xml:space="preserve">consolidation and specialisation </w:t>
            </w:r>
            <w:r w:rsidRPr="006C4E82">
              <w:t xml:space="preserve">of ports, so that one port is developed as a major container port, while another is developed as a major bulk port and another is developed as a major </w:t>
            </w:r>
            <w:r w:rsidR="00AF6026">
              <w:t>RORO</w:t>
            </w:r>
            <w:r w:rsidRPr="006C4E82">
              <w:t xml:space="preserve"> port for freight and passengers. </w:t>
            </w:r>
          </w:p>
        </w:tc>
      </w:tr>
      <w:tr w:rsidR="001D1810" w:rsidRPr="00D75FE8" w:rsidTr="0057495B">
        <w:trPr>
          <w:trHeight w:val="346"/>
        </w:trPr>
        <w:tc>
          <w:tcPr>
            <w:tcW w:w="1895" w:type="dxa"/>
            <w:shd w:val="clear" w:color="auto" w:fill="EFF0EF" w:themeFill="accent4"/>
          </w:tcPr>
          <w:p w:rsidR="001D1810" w:rsidRPr="00767A8D" w:rsidRDefault="001D1810" w:rsidP="0057495B">
            <w:pPr>
              <w:pStyle w:val="Tables"/>
              <w:jc w:val="left"/>
              <w:rPr>
                <w:b/>
              </w:rPr>
            </w:pPr>
            <w:r w:rsidRPr="00767A8D">
              <w:rPr>
                <w:b/>
              </w:rPr>
              <w:t>Discussion</w:t>
            </w:r>
          </w:p>
        </w:tc>
        <w:tc>
          <w:tcPr>
            <w:tcW w:w="7144" w:type="dxa"/>
            <w:shd w:val="clear" w:color="auto" w:fill="auto"/>
          </w:tcPr>
          <w:p w:rsidR="001D1810" w:rsidRDefault="001D1810" w:rsidP="00465C60">
            <w:pPr>
              <w:pStyle w:val="Bullet1"/>
              <w:numPr>
                <w:ilvl w:val="0"/>
                <w:numId w:val="0"/>
              </w:numPr>
              <w:rPr>
                <w:rFonts w:eastAsiaTheme="majorEastAsia"/>
                <w:b/>
                <w:bCs/>
                <w:color w:val="7AB800" w:themeColor="accent1"/>
              </w:rPr>
            </w:pPr>
            <w:r>
              <w:t xml:space="preserve">Decisions about port specialisation obviously take into account port efficiency but should also take into account the wider economic effects.  It is the whole system or supply chain cost that ought to be weighed on decisions about specialisation.  </w:t>
            </w:r>
          </w:p>
          <w:p w:rsidR="001D1810" w:rsidRDefault="001D1810" w:rsidP="00465C60">
            <w:pPr>
              <w:pStyle w:val="Bullet1"/>
              <w:numPr>
                <w:ilvl w:val="0"/>
                <w:numId w:val="0"/>
              </w:numPr>
              <w:rPr>
                <w:rFonts w:eastAsiaTheme="majorEastAsia"/>
                <w:b/>
                <w:bCs/>
                <w:color w:val="7AB800" w:themeColor="accent1"/>
              </w:rPr>
            </w:pPr>
            <w:r>
              <w:t>Matters to consider include whether or not ships will call, what type and size, how far freight must travel to reach a port. Given the enormous costs of developing ports, they are 100 year decisions, it is important to avoid developing infrastructure that won’t be fully used.  Similarly it is important to develop infrastructure in time so that the economies are not constrained by its lack.</w:t>
            </w:r>
          </w:p>
          <w:p w:rsidR="001D1810" w:rsidRDefault="001D1810" w:rsidP="00465C60">
            <w:pPr>
              <w:pStyle w:val="Bullet1"/>
              <w:numPr>
                <w:ilvl w:val="0"/>
                <w:numId w:val="0"/>
              </w:numPr>
              <w:rPr>
                <w:rFonts w:eastAsiaTheme="majorEastAsia"/>
                <w:b/>
                <w:bCs/>
                <w:color w:val="7AB800" w:themeColor="accent1"/>
              </w:rPr>
            </w:pPr>
            <w:r>
              <w:t xml:space="preserve">A good strategy therefore would be one where investments can be phased such that they do not run ahead of the market. </w:t>
            </w:r>
          </w:p>
          <w:p w:rsidR="001D1810" w:rsidRDefault="001D1810" w:rsidP="00465C60">
            <w:pPr>
              <w:pStyle w:val="Bullet1"/>
              <w:numPr>
                <w:ilvl w:val="0"/>
                <w:numId w:val="0"/>
              </w:numPr>
              <w:rPr>
                <w:rFonts w:eastAsiaTheme="majorEastAsia"/>
                <w:b/>
                <w:bCs/>
                <w:color w:val="7AB800" w:themeColor="accent1"/>
              </w:rPr>
            </w:pPr>
            <w:r>
              <w:t xml:space="preserve">Ports </w:t>
            </w:r>
            <w:r w:rsidRPr="006C4E82">
              <w:t xml:space="preserve">serve the trade </w:t>
            </w:r>
            <w:r>
              <w:t>of their hinterlands</w:t>
            </w:r>
            <w:r w:rsidRPr="006C4E82">
              <w:t xml:space="preserve"> of the area </w:t>
            </w:r>
            <w:r>
              <w:t>and not the other way around</w:t>
            </w:r>
            <w:r w:rsidRPr="006C4E82">
              <w:t xml:space="preserve">. Hence while some ports have developed into handling one particular type of </w:t>
            </w:r>
            <w:r>
              <w:t>freight</w:t>
            </w:r>
            <w:r w:rsidRPr="006C4E82">
              <w:t xml:space="preserve">, these developments have been driven by the needs of the hinterland of the port. We suggest that there must be a clear benefit to all if a port is to specialise in one type of </w:t>
            </w:r>
            <w:r>
              <w:t>freight.</w:t>
            </w:r>
          </w:p>
          <w:p w:rsidR="001D1810" w:rsidRDefault="001D1810" w:rsidP="00465C60">
            <w:pPr>
              <w:pStyle w:val="Bullet1"/>
              <w:numPr>
                <w:ilvl w:val="0"/>
                <w:numId w:val="0"/>
              </w:numPr>
              <w:rPr>
                <w:rFonts w:eastAsiaTheme="majorEastAsia"/>
                <w:b/>
                <w:bCs/>
                <w:color w:val="7AB800" w:themeColor="accent1"/>
              </w:rPr>
            </w:pPr>
            <w:r w:rsidRPr="006C4E82">
              <w:t>However, avoid</w:t>
            </w:r>
            <w:r>
              <w:t>ing</w:t>
            </w:r>
            <w:r w:rsidRPr="006C4E82">
              <w:t xml:space="preserve"> duplication of costly infrastructure</w:t>
            </w:r>
            <w:r>
              <w:t xml:space="preserve"> is a valid motive so to the extent that the hinterland trade isn’t disadvantaged</w:t>
            </w:r>
            <w:r w:rsidRPr="006C4E82">
              <w:t xml:space="preserve">, there are benefits in centralizing types of </w:t>
            </w:r>
            <w:r>
              <w:t>freight in one port.</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Pr>
        <w:tc>
          <w:tcPr>
            <w:tcW w:w="1895" w:type="dxa"/>
            <w:shd w:val="clear" w:color="auto" w:fill="EFF0EF" w:themeFill="accent4"/>
          </w:tcPr>
          <w:p w:rsidR="001D1810" w:rsidRPr="00767A8D" w:rsidRDefault="001D1810" w:rsidP="0057495B">
            <w:pPr>
              <w:pStyle w:val="Tables"/>
              <w:jc w:val="left"/>
              <w:rPr>
                <w:b/>
              </w:rPr>
            </w:pPr>
            <w:r w:rsidRPr="00767A8D">
              <w:rPr>
                <w:b/>
              </w:rPr>
              <w:t xml:space="preserve">Consolidation </w:t>
            </w:r>
            <w:r w:rsidR="006C63E9">
              <w:rPr>
                <w:b/>
              </w:rPr>
              <w:t>S</w:t>
            </w:r>
            <w:r w:rsidRPr="00767A8D">
              <w:rPr>
                <w:b/>
              </w:rPr>
              <w:t>cenarios</w:t>
            </w:r>
          </w:p>
        </w:tc>
        <w:tc>
          <w:tcPr>
            <w:tcW w:w="7144" w:type="dxa"/>
            <w:shd w:val="clear" w:color="auto" w:fill="auto"/>
          </w:tcPr>
          <w:p w:rsidR="001D1810" w:rsidRDefault="001D1810" w:rsidP="0057495B">
            <w:pPr>
              <w:pStyle w:val="Tables"/>
            </w:pPr>
            <w:r>
              <w:t>We consider some issues around different kinds of consolidation.</w:t>
            </w:r>
          </w:p>
        </w:tc>
      </w:tr>
      <w:tr w:rsidR="001D1810" w:rsidRPr="00D75FE8" w:rsidTr="0057495B">
        <w:trPr>
          <w:trHeight w:val="4315"/>
        </w:trPr>
        <w:tc>
          <w:tcPr>
            <w:tcW w:w="1895" w:type="dxa"/>
            <w:shd w:val="clear" w:color="auto" w:fill="EFF0EF" w:themeFill="accent4"/>
          </w:tcPr>
          <w:p w:rsidR="001D1810" w:rsidRPr="00767A8D" w:rsidRDefault="001D1810" w:rsidP="0057495B">
            <w:pPr>
              <w:pStyle w:val="Tables"/>
              <w:jc w:val="left"/>
              <w:rPr>
                <w:rFonts w:eastAsiaTheme="majorEastAsia"/>
                <w:b/>
                <w:bCs/>
                <w:color w:val="7AB800" w:themeColor="accent1"/>
              </w:rPr>
            </w:pPr>
            <w:r w:rsidRPr="00767A8D">
              <w:rPr>
                <w:b/>
              </w:rPr>
              <w:t xml:space="preserve">Container </w:t>
            </w:r>
            <w:r w:rsidR="006C63E9">
              <w:rPr>
                <w:b/>
              </w:rPr>
              <w:t>F</w:t>
            </w:r>
            <w:r w:rsidRPr="00767A8D">
              <w:rPr>
                <w:b/>
              </w:rPr>
              <w:t>reight</w:t>
            </w:r>
            <w:r w:rsidR="00EB61EF">
              <w:rPr>
                <w:b/>
              </w:rPr>
              <w:t xml:space="preserve"> </w:t>
            </w:r>
            <w:r w:rsidR="006C63E9">
              <w:rPr>
                <w:b/>
              </w:rPr>
              <w:t>C</w:t>
            </w:r>
            <w:r w:rsidR="00EB61EF">
              <w:rPr>
                <w:b/>
              </w:rPr>
              <w:t>onsolidation</w:t>
            </w:r>
            <w:r w:rsidRPr="00767A8D">
              <w:rPr>
                <w:b/>
              </w:rPr>
              <w:t xml:space="preserve"> </w:t>
            </w:r>
          </w:p>
        </w:tc>
        <w:tc>
          <w:tcPr>
            <w:tcW w:w="7144" w:type="dxa"/>
            <w:shd w:val="clear" w:color="auto" w:fill="auto"/>
          </w:tcPr>
          <w:p w:rsidR="001D1810" w:rsidRDefault="001D1810" w:rsidP="00465C60">
            <w:pPr>
              <w:pStyle w:val="Bullet1"/>
              <w:numPr>
                <w:ilvl w:val="0"/>
                <w:numId w:val="0"/>
              </w:numPr>
              <w:rPr>
                <w:rFonts w:eastAsiaTheme="majorEastAsia"/>
                <w:b/>
                <w:bCs/>
                <w:color w:val="7AB800" w:themeColor="accent1"/>
              </w:rPr>
            </w:pPr>
            <w:r>
              <w:t>There is a proposal that a major container port should be developed at Bell Bay.  It’s important to be clear what that means.  We assume it means a modern terminal that would serve cellular container vessels</w:t>
            </w:r>
            <w:r w:rsidRPr="006C4E82">
              <w:t xml:space="preserve"> </w:t>
            </w:r>
            <w:r>
              <w:t xml:space="preserve">using portainer cranes for lifting on and off a vessel.  We also assume the proposal is to service the mainland trade. </w:t>
            </w:r>
          </w:p>
          <w:p w:rsidR="001D1810" w:rsidRDefault="001D1810" w:rsidP="00465C60">
            <w:pPr>
              <w:pStyle w:val="Bullet1"/>
              <w:numPr>
                <w:ilvl w:val="0"/>
                <w:numId w:val="0"/>
              </w:numPr>
              <w:rPr>
                <w:rFonts w:eastAsiaTheme="majorEastAsia"/>
                <w:b/>
                <w:bCs/>
                <w:color w:val="7AB800" w:themeColor="accent1"/>
              </w:rPr>
            </w:pPr>
            <w:r>
              <w:t>C</w:t>
            </w:r>
            <w:r w:rsidRPr="006C4E82">
              <w:t>ellular container vessels which use load on</w:t>
            </w:r>
            <w:r>
              <w:t>/</w:t>
            </w:r>
            <w:r w:rsidRPr="006C4E82">
              <w:t>load off methods</w:t>
            </w:r>
            <w:r>
              <w:t xml:space="preserve"> </w:t>
            </w:r>
            <w:r w:rsidRPr="006C4E82">
              <w:t xml:space="preserve">would be </w:t>
            </w:r>
            <w:r>
              <w:t>at best, weekly or fortnightly, this service level would be at odds with more than 50% of Tasmanian freight users who</w:t>
            </w:r>
            <w:r w:rsidRPr="006C4E82">
              <w:t xml:space="preserve"> want an overnight service. </w:t>
            </w:r>
          </w:p>
          <w:p w:rsidR="001D1810" w:rsidRDefault="001D1810" w:rsidP="00465C60">
            <w:pPr>
              <w:pStyle w:val="Bullet1"/>
              <w:numPr>
                <w:ilvl w:val="0"/>
                <w:numId w:val="0"/>
              </w:numPr>
              <w:rPr>
                <w:rFonts w:eastAsiaTheme="majorEastAsia"/>
                <w:b/>
                <w:bCs/>
                <w:color w:val="7AB800" w:themeColor="accent1"/>
              </w:rPr>
            </w:pPr>
            <w:r>
              <w:t xml:space="preserve">Should such a service commence it would draw some freight from the existing </w:t>
            </w:r>
            <w:r w:rsidR="004A0B52">
              <w:t>RORO</w:t>
            </w:r>
            <w:r>
              <w:t xml:space="preserve"> services and freight rates for these services would probably increase. </w:t>
            </w:r>
          </w:p>
          <w:p w:rsidR="001D1810" w:rsidRDefault="001D1810" w:rsidP="00465C60">
            <w:pPr>
              <w:pStyle w:val="Bullet1"/>
              <w:numPr>
                <w:ilvl w:val="0"/>
                <w:numId w:val="0"/>
              </w:numPr>
            </w:pPr>
            <w:r>
              <w:t xml:space="preserve">Tasmanian ports are currently very efficient </w:t>
            </w:r>
            <w:r w:rsidRPr="006C4E82">
              <w:t>we do not see how centralizing all container traffic at one port (Bell Bay or elsewhere) will bring benefits unless there are very substantial efficiencies and cost saving</w:t>
            </w:r>
            <w:r>
              <w:t>s to be had.</w:t>
            </w:r>
          </w:p>
          <w:p w:rsidR="001D1810" w:rsidRPr="003078C9" w:rsidRDefault="001D1810" w:rsidP="00465C60">
            <w:pPr>
              <w:pStyle w:val="Bullet1"/>
              <w:numPr>
                <w:ilvl w:val="0"/>
                <w:numId w:val="0"/>
              </w:numPr>
            </w:pPr>
            <w:r>
              <w:t>If the purpose of a single container port is primarily for export cargoes, at this stage the remaining volumes look too thin to support the large investment in infrastructure, which would be required.</w:t>
            </w:r>
          </w:p>
        </w:tc>
      </w:tr>
      <w:tr w:rsidR="001D1810" w:rsidRPr="00D75FE8" w:rsidTr="00465C60">
        <w:trPr>
          <w:cnfStyle w:val="000000010000" w:firstRow="0" w:lastRow="0" w:firstColumn="0" w:lastColumn="0" w:oddVBand="0" w:evenVBand="0" w:oddHBand="0" w:evenHBand="1" w:firstRowFirstColumn="0" w:firstRowLastColumn="0" w:lastRowFirstColumn="0" w:lastRowLastColumn="0"/>
          <w:trHeight w:val="841"/>
        </w:trPr>
        <w:tc>
          <w:tcPr>
            <w:tcW w:w="1895" w:type="dxa"/>
            <w:shd w:val="clear" w:color="auto" w:fill="EFF0EF" w:themeFill="accent4"/>
          </w:tcPr>
          <w:p w:rsidR="001D1810" w:rsidRPr="00767A8D" w:rsidRDefault="001D1810" w:rsidP="0057495B">
            <w:pPr>
              <w:pStyle w:val="Tables"/>
              <w:jc w:val="left"/>
              <w:rPr>
                <w:rFonts w:eastAsiaTheme="majorEastAsia"/>
                <w:b/>
                <w:bCs/>
                <w:color w:val="7AB800" w:themeColor="accent1"/>
              </w:rPr>
            </w:pPr>
            <w:r w:rsidRPr="00767A8D">
              <w:rPr>
                <w:b/>
              </w:rPr>
              <w:t xml:space="preserve">Bulk </w:t>
            </w:r>
            <w:r w:rsidR="006C63E9">
              <w:rPr>
                <w:b/>
              </w:rPr>
              <w:t>F</w:t>
            </w:r>
            <w:r w:rsidRPr="00767A8D">
              <w:rPr>
                <w:b/>
              </w:rPr>
              <w:t>reight</w:t>
            </w:r>
            <w:r w:rsidR="00EB61EF">
              <w:rPr>
                <w:b/>
              </w:rPr>
              <w:t xml:space="preserve"> </w:t>
            </w:r>
            <w:r w:rsidR="006C63E9">
              <w:rPr>
                <w:b/>
              </w:rPr>
              <w:t>C</w:t>
            </w:r>
            <w:r w:rsidR="00EB61EF">
              <w:rPr>
                <w:b/>
              </w:rPr>
              <w:t>onsolidation</w:t>
            </w:r>
          </w:p>
        </w:tc>
        <w:tc>
          <w:tcPr>
            <w:tcW w:w="7144" w:type="dxa"/>
            <w:shd w:val="clear" w:color="auto" w:fill="auto"/>
          </w:tcPr>
          <w:p w:rsidR="001D1810" w:rsidRDefault="001D1810" w:rsidP="00465C60">
            <w:pPr>
              <w:pStyle w:val="Bullet1"/>
              <w:numPr>
                <w:ilvl w:val="0"/>
                <w:numId w:val="0"/>
              </w:numPr>
              <w:rPr>
                <w:rFonts w:eastAsiaTheme="majorEastAsia"/>
                <w:b/>
                <w:bCs/>
                <w:color w:val="7AB800" w:themeColor="accent1"/>
              </w:rPr>
            </w:pPr>
            <w:r w:rsidRPr="006C4E82">
              <w:t xml:space="preserve">Centralizing all bulk </w:t>
            </w:r>
            <w:r>
              <w:t>freight</w:t>
            </w:r>
            <w:r w:rsidRPr="006C4E82">
              <w:t xml:space="preserve"> exports from Tasmania in one northern port could br</w:t>
            </w:r>
            <w:r>
              <w:t>ing benefits or savings, if:</w:t>
            </w:r>
          </w:p>
          <w:p w:rsidR="001D1810" w:rsidRPr="00873460" w:rsidRDefault="001D1810" w:rsidP="001D1810">
            <w:pPr>
              <w:pStyle w:val="Bullet1"/>
              <w:numPr>
                <w:ilvl w:val="0"/>
                <w:numId w:val="5"/>
              </w:numPr>
              <w:spacing w:after="60"/>
            </w:pPr>
            <w:r>
              <w:t>Infrastructure could be shared such as</w:t>
            </w:r>
            <w:r w:rsidRPr="006C4E82">
              <w:t xml:space="preserve"> </w:t>
            </w:r>
            <w:r>
              <w:t>common vessel</w:t>
            </w:r>
            <w:r w:rsidRPr="006C4E82">
              <w:t xml:space="preserve"> loader</w:t>
            </w:r>
            <w:r>
              <w:t>s</w:t>
            </w:r>
            <w:r w:rsidRPr="006C4E82">
              <w:t xml:space="preserve"> to load all </w:t>
            </w:r>
            <w:r>
              <w:t xml:space="preserve">types of </w:t>
            </w:r>
            <w:r w:rsidRPr="006C4E82">
              <w:t xml:space="preserve">bulk </w:t>
            </w:r>
            <w:r>
              <w:t xml:space="preserve">freight. </w:t>
            </w:r>
          </w:p>
          <w:p w:rsidR="001D1810" w:rsidRPr="00873460" w:rsidRDefault="001D1810" w:rsidP="001D1810">
            <w:pPr>
              <w:pStyle w:val="Bullet1"/>
              <w:numPr>
                <w:ilvl w:val="0"/>
                <w:numId w:val="5"/>
              </w:numPr>
              <w:spacing w:after="60"/>
            </w:pPr>
            <w:r>
              <w:t>O</w:t>
            </w:r>
            <w:r w:rsidRPr="006C4E82">
              <w:t xml:space="preserve">ne berth and channel at a suitably deep draft for </w:t>
            </w:r>
            <w:r>
              <w:t xml:space="preserve">all </w:t>
            </w:r>
            <w:r w:rsidRPr="006C4E82">
              <w:t xml:space="preserve">bulk </w:t>
            </w:r>
            <w:r>
              <w:t>vessels could be maintained in place of several.</w:t>
            </w:r>
          </w:p>
          <w:p w:rsidR="001D1810" w:rsidRDefault="001D1810" w:rsidP="001D1810">
            <w:pPr>
              <w:pStyle w:val="Bullet1"/>
              <w:numPr>
                <w:ilvl w:val="0"/>
                <w:numId w:val="5"/>
              </w:numPr>
              <w:spacing w:after="60"/>
            </w:pPr>
            <w:r>
              <w:t xml:space="preserve">Investment is made once to achieve </w:t>
            </w:r>
            <w:r w:rsidRPr="006C4E82">
              <w:t>compliance with environmental laws</w:t>
            </w:r>
            <w:r>
              <w:t>.</w:t>
            </w:r>
          </w:p>
          <w:p w:rsidR="001D1810" w:rsidRDefault="001D1810" w:rsidP="001D1810">
            <w:pPr>
              <w:pStyle w:val="Bullet1"/>
              <w:numPr>
                <w:ilvl w:val="0"/>
                <w:numId w:val="5"/>
              </w:numPr>
              <w:spacing w:after="60"/>
            </w:pPr>
            <w:r>
              <w:t xml:space="preserve">The </w:t>
            </w:r>
            <w:r w:rsidRPr="006C4E82">
              <w:t xml:space="preserve">origin of the bulk </w:t>
            </w:r>
            <w:r>
              <w:t xml:space="preserve">freight is not </w:t>
            </w:r>
            <w:r w:rsidRPr="006C4E82">
              <w:t>dispro</w:t>
            </w:r>
            <w:r>
              <w:t>portionately far from the port. The benefits of aggregation at one port would be lost to the cost of transportation to that one port if too far away.</w:t>
            </w:r>
          </w:p>
          <w:p w:rsidR="001D1810" w:rsidRDefault="001D1810" w:rsidP="00465C60">
            <w:pPr>
              <w:pStyle w:val="Bullet1"/>
              <w:numPr>
                <w:ilvl w:val="0"/>
                <w:numId w:val="0"/>
              </w:numPr>
              <w:rPr>
                <w:rFonts w:eastAsiaTheme="majorEastAsia"/>
                <w:b/>
                <w:bCs/>
                <w:color w:val="7AB800" w:themeColor="accent1"/>
              </w:rPr>
            </w:pPr>
            <w:r w:rsidRPr="006C4E82">
              <w:t>There are other fact</w:t>
            </w:r>
            <w:r>
              <w:t xml:space="preserve">ors that need to be considered such as the complexities of the mix of the bulk freight. </w:t>
            </w:r>
            <w:r w:rsidRPr="006C4E82">
              <w:t xml:space="preserve">The </w:t>
            </w:r>
            <w:r>
              <w:t xml:space="preserve">equipment </w:t>
            </w:r>
            <w:r w:rsidRPr="006C4E82">
              <w:t xml:space="preserve">needs to be compatible </w:t>
            </w:r>
            <w:r>
              <w:t>with</w:t>
            </w:r>
            <w:r w:rsidRPr="006C4E82">
              <w:t xml:space="preserve"> the </w:t>
            </w:r>
            <w:r>
              <w:t>products such as:</w:t>
            </w:r>
          </w:p>
          <w:p w:rsidR="001D1810" w:rsidRPr="00873460" w:rsidRDefault="001D1810" w:rsidP="001D1810">
            <w:pPr>
              <w:pStyle w:val="Bullet1"/>
              <w:numPr>
                <w:ilvl w:val="0"/>
                <w:numId w:val="5"/>
              </w:numPr>
              <w:spacing w:after="60"/>
            </w:pPr>
            <w:r>
              <w:t>Material</w:t>
            </w:r>
            <w:r w:rsidRPr="006C4E82">
              <w:t xml:space="preserve"> handling and </w:t>
            </w:r>
            <w:r>
              <w:t>vessel</w:t>
            </w:r>
            <w:r w:rsidRPr="006C4E82">
              <w:t xml:space="preserve"> loading conveyor system to avoid </w:t>
            </w:r>
            <w:r>
              <w:t xml:space="preserve">contamination. </w:t>
            </w:r>
          </w:p>
          <w:p w:rsidR="001D1810" w:rsidRDefault="001D1810" w:rsidP="001D1810">
            <w:pPr>
              <w:pStyle w:val="Bullet1"/>
              <w:numPr>
                <w:ilvl w:val="0"/>
                <w:numId w:val="5"/>
              </w:numPr>
              <w:spacing w:after="60"/>
              <w:rPr>
                <w:rFonts w:eastAsiaTheme="majorEastAsia"/>
                <w:bCs/>
                <w:color w:val="7AB800" w:themeColor="accent1"/>
              </w:rPr>
            </w:pPr>
            <w:r>
              <w:t>S</w:t>
            </w:r>
            <w:r w:rsidRPr="006C4E82">
              <w:t>eparation and du</w:t>
            </w:r>
            <w:r>
              <w:t xml:space="preserve">st control measures need </w:t>
            </w:r>
            <w:r w:rsidRPr="006C4E82">
              <w:t xml:space="preserve">to be considered </w:t>
            </w:r>
            <w:r>
              <w:t>in</w:t>
            </w:r>
            <w:r w:rsidRPr="006C4E82">
              <w:t xml:space="preserve"> stockpile areas</w:t>
            </w:r>
            <w:r>
              <w:t>.</w:t>
            </w:r>
          </w:p>
        </w:tc>
      </w:tr>
      <w:tr w:rsidR="001D1810" w:rsidRPr="00D75FE8" w:rsidTr="0057495B">
        <w:tc>
          <w:tcPr>
            <w:tcW w:w="1895" w:type="dxa"/>
            <w:shd w:val="clear" w:color="auto" w:fill="EFF0EF" w:themeFill="accent4"/>
          </w:tcPr>
          <w:p w:rsidR="001D1810" w:rsidRPr="002D10F9" w:rsidRDefault="00AF6026" w:rsidP="0057495B">
            <w:pPr>
              <w:pStyle w:val="Tables"/>
              <w:jc w:val="left"/>
              <w:rPr>
                <w:rFonts w:eastAsiaTheme="majorEastAsia"/>
                <w:b/>
                <w:bCs/>
                <w:color w:val="7AB800" w:themeColor="accent1"/>
              </w:rPr>
            </w:pPr>
            <w:r>
              <w:rPr>
                <w:b/>
              </w:rPr>
              <w:t>RORO</w:t>
            </w:r>
            <w:r w:rsidR="001D1810" w:rsidRPr="002D10F9">
              <w:rPr>
                <w:b/>
              </w:rPr>
              <w:t xml:space="preserve"> and Passengers</w:t>
            </w:r>
            <w:r w:rsidR="00EB61EF">
              <w:rPr>
                <w:b/>
              </w:rPr>
              <w:t xml:space="preserve"> </w:t>
            </w:r>
            <w:r w:rsidR="006C63E9">
              <w:rPr>
                <w:b/>
              </w:rPr>
              <w:t>C</w:t>
            </w:r>
            <w:r w:rsidR="00EB61EF">
              <w:rPr>
                <w:b/>
              </w:rPr>
              <w:t>onsolidation</w:t>
            </w:r>
          </w:p>
        </w:tc>
        <w:tc>
          <w:tcPr>
            <w:tcW w:w="7144" w:type="dxa"/>
            <w:shd w:val="clear" w:color="auto" w:fill="auto"/>
          </w:tcPr>
          <w:p w:rsidR="001D1810" w:rsidRDefault="001D1810" w:rsidP="00465C60">
            <w:pPr>
              <w:pStyle w:val="Bullet1"/>
              <w:numPr>
                <w:ilvl w:val="0"/>
                <w:numId w:val="0"/>
              </w:numPr>
              <w:rPr>
                <w:rFonts w:eastAsiaTheme="majorEastAsia"/>
                <w:b/>
                <w:bCs/>
                <w:color w:val="7AB800" w:themeColor="accent1"/>
              </w:rPr>
            </w:pPr>
            <w:r>
              <w:t xml:space="preserve">Centralising </w:t>
            </w:r>
            <w:r w:rsidR="00AF6026">
              <w:t>RORO</w:t>
            </w:r>
            <w:r w:rsidRPr="006C4E82">
              <w:t xml:space="preserve"> freight and passenger services in one port does not seem to have similar benefits as for bulk </w:t>
            </w:r>
            <w:r>
              <w:t xml:space="preserve">freight </w:t>
            </w:r>
            <w:r w:rsidRPr="006C4E82">
              <w:t>because by the nature of the trade and the operations</w:t>
            </w:r>
            <w:r>
              <w:t xml:space="preserve">. </w:t>
            </w:r>
          </w:p>
          <w:p w:rsidR="001D1810" w:rsidRDefault="001D1810" w:rsidP="00465C60">
            <w:pPr>
              <w:pStyle w:val="Bullet1"/>
              <w:numPr>
                <w:ilvl w:val="0"/>
                <w:numId w:val="0"/>
              </w:numPr>
              <w:rPr>
                <w:rFonts w:eastAsiaTheme="majorEastAsia"/>
                <w:b/>
                <w:bCs/>
                <w:color w:val="7AB800" w:themeColor="accent1"/>
              </w:rPr>
            </w:pPr>
            <w:r>
              <w:t>E</w:t>
            </w:r>
            <w:r w:rsidRPr="006C4E82">
              <w:t xml:space="preserve">ach Bass Strait </w:t>
            </w:r>
            <w:r w:rsidR="00AF6026">
              <w:t>RORO</w:t>
            </w:r>
            <w:r>
              <w:t xml:space="preserve"> service provider </w:t>
            </w:r>
            <w:r w:rsidRPr="006C4E82">
              <w:t>require</w:t>
            </w:r>
            <w:r>
              <w:t>s</w:t>
            </w:r>
            <w:r w:rsidRPr="006C4E82">
              <w:t xml:space="preserve"> their own terminal in which to receive, store and deliver </w:t>
            </w:r>
            <w:r>
              <w:t xml:space="preserve">freight so if </w:t>
            </w:r>
            <w:r w:rsidRPr="006C4E82">
              <w:t>services were centralized in one port, two</w:t>
            </w:r>
            <w:r>
              <w:t xml:space="preserve"> separate</w:t>
            </w:r>
            <w:r w:rsidRPr="006C4E82">
              <w:t xml:space="preserve"> terminals </w:t>
            </w:r>
            <w:r>
              <w:t>would be required</w:t>
            </w:r>
            <w:r w:rsidRPr="006C4E82">
              <w:t xml:space="preserve"> within the one port and there are </w:t>
            </w:r>
            <w:r>
              <w:t>unlikely to be other savings</w:t>
            </w:r>
            <w:r w:rsidRPr="006C4E82">
              <w:t xml:space="preserve"> in the supply chain</w:t>
            </w:r>
            <w:r>
              <w:t xml:space="preserve"> to offset the additional terminal costs</w:t>
            </w:r>
            <w:r w:rsidRPr="006C4E82">
              <w:t xml:space="preserve">. </w:t>
            </w:r>
          </w:p>
          <w:p w:rsidR="001D1810" w:rsidRDefault="001D1810" w:rsidP="00465C60">
            <w:pPr>
              <w:pStyle w:val="Bullet1"/>
              <w:numPr>
                <w:ilvl w:val="0"/>
                <w:numId w:val="0"/>
              </w:numPr>
              <w:rPr>
                <w:rFonts w:eastAsiaTheme="majorEastAsia"/>
                <w:b/>
                <w:bCs/>
                <w:color w:val="7AB800" w:themeColor="accent1"/>
              </w:rPr>
            </w:pPr>
            <w:r w:rsidRPr="006C4E82">
              <w:t>There could be savings made in port maintenance or dredging but this forms a small proportion of the total cost of the supply chain across Bass Strait and this would be the case only if one other port is totally shut down.</w:t>
            </w:r>
          </w:p>
          <w:p w:rsidR="001D1810" w:rsidRDefault="001D1810" w:rsidP="00465C60">
            <w:pPr>
              <w:pStyle w:val="Bullet1"/>
              <w:numPr>
                <w:ilvl w:val="0"/>
                <w:numId w:val="0"/>
              </w:numPr>
              <w:rPr>
                <w:rFonts w:eastAsiaTheme="majorEastAsia"/>
                <w:b/>
                <w:bCs/>
                <w:color w:val="7AB800" w:themeColor="accent1"/>
              </w:rPr>
            </w:pPr>
            <w:r>
              <w:t xml:space="preserve">A potential disadvantage </w:t>
            </w:r>
            <w:r w:rsidRPr="006C4E82">
              <w:t xml:space="preserve">to having both </w:t>
            </w:r>
            <w:r w:rsidR="00AF6026">
              <w:t>RORO</w:t>
            </w:r>
            <w:r>
              <w:t xml:space="preserve"> service providers in one port is that the</w:t>
            </w:r>
            <w:r w:rsidRPr="006C4E82">
              <w:t xml:space="preserve"> capacity of the rail system into that port </w:t>
            </w:r>
            <w:r>
              <w:t>may</w:t>
            </w:r>
            <w:r w:rsidRPr="006C4E82">
              <w:t xml:space="preserve"> need to be increased to cater for the flow of </w:t>
            </w:r>
            <w:r>
              <w:t>freight</w:t>
            </w:r>
            <w:r w:rsidRPr="006C4E82">
              <w:t xml:space="preserve"> from two terminals and there would be increased road traffic and congestion in and around the vicinity of the port with </w:t>
            </w:r>
            <w:r>
              <w:t xml:space="preserve">adverse impacts on the reliability of the supply chain and </w:t>
            </w:r>
            <w:r w:rsidRPr="006C4E82">
              <w:t xml:space="preserve">the local community. </w:t>
            </w:r>
          </w:p>
          <w:p w:rsidR="00EB61EF" w:rsidRDefault="00EB61EF" w:rsidP="00465C60">
            <w:pPr>
              <w:pStyle w:val="Bullet1"/>
              <w:numPr>
                <w:ilvl w:val="0"/>
                <w:numId w:val="0"/>
              </w:numPr>
            </w:pPr>
            <w:r>
              <w:t xml:space="preserve">On the other hand an advantage of having two terminals at the </w:t>
            </w:r>
            <w:r w:rsidR="009C4A0F">
              <w:t xml:space="preserve">one </w:t>
            </w:r>
            <w:r w:rsidR="0082579E">
              <w:t>port would  improve</w:t>
            </w:r>
            <w:r>
              <w:t xml:space="preserve"> competition, particularly for those shippers who want to use rail for their land transport component of thei</w:t>
            </w:r>
            <w:r w:rsidR="0082579E">
              <w:t xml:space="preserve">r freight tasks, as currently the choices these shippers face are limited. </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Height w:val="1557"/>
        </w:trPr>
        <w:tc>
          <w:tcPr>
            <w:tcW w:w="1895" w:type="dxa"/>
            <w:shd w:val="clear" w:color="auto" w:fill="EFF0EF" w:themeFill="accent4"/>
          </w:tcPr>
          <w:p w:rsidR="001D1810" w:rsidRPr="002D10F9" w:rsidRDefault="00EB61EF" w:rsidP="006C63E9">
            <w:pPr>
              <w:pStyle w:val="Tables"/>
              <w:jc w:val="left"/>
              <w:rPr>
                <w:b/>
              </w:rPr>
            </w:pPr>
            <w:r>
              <w:rPr>
                <w:b/>
              </w:rPr>
              <w:t>Liner</w:t>
            </w:r>
            <w:r w:rsidR="006C63E9">
              <w:rPr>
                <w:b/>
              </w:rPr>
              <w:t xml:space="preserve"> S</w:t>
            </w:r>
            <w:r>
              <w:rPr>
                <w:b/>
              </w:rPr>
              <w:t xml:space="preserve">ervice </w:t>
            </w:r>
            <w:r w:rsidR="006C63E9">
              <w:rPr>
                <w:b/>
              </w:rPr>
              <w:t>V</w:t>
            </w:r>
            <w:r>
              <w:rPr>
                <w:b/>
              </w:rPr>
              <w:t>olumes</w:t>
            </w:r>
          </w:p>
        </w:tc>
        <w:tc>
          <w:tcPr>
            <w:tcW w:w="7144" w:type="dxa"/>
            <w:shd w:val="clear" w:color="auto" w:fill="auto"/>
          </w:tcPr>
          <w:p w:rsidR="001D1810" w:rsidRDefault="001D1810" w:rsidP="00465C60">
            <w:pPr>
              <w:pStyle w:val="Bullet1"/>
              <w:numPr>
                <w:ilvl w:val="0"/>
                <w:numId w:val="0"/>
              </w:numPr>
              <w:rPr>
                <w:rFonts w:eastAsiaTheme="majorEastAsia"/>
                <w:b/>
                <w:bCs/>
                <w:color w:val="7AB800" w:themeColor="accent1"/>
              </w:rPr>
            </w:pPr>
            <w:r>
              <w:t>T</w:t>
            </w:r>
            <w:r w:rsidRPr="006C4E82">
              <w:t>he total containers for international destinations (export and import), presently tran</w:t>
            </w:r>
            <w:r>
              <w:t>shipp</w:t>
            </w:r>
            <w:r w:rsidRPr="006C4E82">
              <w:t xml:space="preserve">ed through Melbourne, is </w:t>
            </w:r>
            <w:r>
              <w:t>approximately 48</w:t>
            </w:r>
            <w:r w:rsidRPr="006C4E82">
              <w:t xml:space="preserve">,000 </w:t>
            </w:r>
            <w:r>
              <w:t>TEU’s or 11% of Tasmania’s freight.</w:t>
            </w:r>
            <w:r w:rsidRPr="006C4E82">
              <w:t xml:space="preserve"> </w:t>
            </w:r>
          </w:p>
          <w:p w:rsidR="001D1810" w:rsidRDefault="001D1810" w:rsidP="00465C60">
            <w:pPr>
              <w:pStyle w:val="Bullet1"/>
              <w:numPr>
                <w:ilvl w:val="0"/>
                <w:numId w:val="0"/>
              </w:numPr>
              <w:rPr>
                <w:rFonts w:eastAsiaTheme="majorEastAsia"/>
                <w:b/>
                <w:bCs/>
                <w:color w:val="7AB800" w:themeColor="accent1"/>
              </w:rPr>
            </w:pPr>
            <w:r w:rsidRPr="006C4E82">
              <w:t xml:space="preserve">If the underlying premise to developing a single major container port in northern Tasmania is to attract </w:t>
            </w:r>
            <w:r>
              <w:t>International Liner</w:t>
            </w:r>
            <w:r w:rsidRPr="006C4E82">
              <w:t xml:space="preserve"> services, </w:t>
            </w:r>
            <w:r>
              <w:t xml:space="preserve">on the current volumes </w:t>
            </w:r>
            <w:r w:rsidRPr="006C4E82">
              <w:t xml:space="preserve">it would seem </w:t>
            </w:r>
            <w:r>
              <w:t>there are insufficient volumes across all ports to attract an International Liner service</w:t>
            </w:r>
            <w:r w:rsidRPr="006C4E82">
              <w:t xml:space="preserve"> </w:t>
            </w:r>
            <w:r>
              <w:t xml:space="preserve">and enable it to earn sustainable returns. </w:t>
            </w:r>
          </w:p>
        </w:tc>
      </w:tr>
    </w:tbl>
    <w:p w:rsidR="001D1810" w:rsidRPr="006C4E82" w:rsidRDefault="001D1810" w:rsidP="001D1810">
      <w:pPr>
        <w:ind w:right="-64"/>
        <w:jc w:val="left"/>
      </w:pPr>
    </w:p>
    <w:p w:rsidR="001D1810" w:rsidRPr="006C4E82" w:rsidRDefault="001D1810" w:rsidP="001D1810">
      <w:pPr>
        <w:spacing w:after="200"/>
        <w:jc w:val="left"/>
        <w:rPr>
          <w:rFonts w:asciiTheme="majorHAnsi" w:eastAsiaTheme="majorEastAsia" w:hAnsiTheme="majorHAnsi"/>
          <w:b/>
          <w:bCs/>
          <w:color w:val="353D30" w:themeColor="accent2"/>
          <w:sz w:val="24"/>
          <w:szCs w:val="24"/>
        </w:rPr>
      </w:pPr>
      <w:r w:rsidRPr="006C4E82">
        <w:br w:type="page"/>
      </w:r>
    </w:p>
    <w:p w:rsidR="001D1810" w:rsidRPr="006C4E82" w:rsidRDefault="001D1810" w:rsidP="0040197A">
      <w:pPr>
        <w:pStyle w:val="Heading2"/>
      </w:pPr>
      <w:bookmarkStart w:id="257" w:name="_Toc356482648"/>
      <w:bookmarkStart w:id="258" w:name="_Toc356483286"/>
      <w:bookmarkStart w:id="259" w:name="_Toc356483925"/>
      <w:bookmarkStart w:id="260" w:name="_Toc357761436"/>
      <w:bookmarkStart w:id="261" w:name="_Toc358228808"/>
      <w:bookmarkStart w:id="262" w:name="_Toc358361307"/>
      <w:bookmarkStart w:id="263" w:name="_Ref361326664"/>
      <w:bookmarkStart w:id="264" w:name="_Ref363225315"/>
      <w:bookmarkStart w:id="265" w:name="_Toc364154098"/>
      <w:bookmarkStart w:id="266" w:name="_Toc367700244"/>
      <w:bookmarkEnd w:id="257"/>
      <w:bookmarkEnd w:id="258"/>
      <w:bookmarkEnd w:id="259"/>
      <w:r w:rsidRPr="006C4E82">
        <w:t xml:space="preserve">Port </w:t>
      </w:r>
      <w:r>
        <w:t>P</w:t>
      </w:r>
      <w:r w:rsidRPr="006C4E82">
        <w:t>roductivity</w:t>
      </w:r>
      <w:bookmarkEnd w:id="260"/>
      <w:bookmarkEnd w:id="261"/>
      <w:bookmarkEnd w:id="262"/>
      <w:bookmarkEnd w:id="263"/>
      <w:bookmarkEnd w:id="264"/>
      <w:bookmarkEnd w:id="265"/>
      <w:bookmarkEnd w:id="266"/>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1895"/>
        <w:gridCol w:w="7144"/>
      </w:tblGrid>
      <w:tr w:rsidR="001D1810" w:rsidRPr="00D75FE8" w:rsidTr="0057495B">
        <w:trPr>
          <w:cnfStyle w:val="000000010000" w:firstRow="0" w:lastRow="0" w:firstColumn="0" w:lastColumn="0" w:oddVBand="0" w:evenVBand="0" w:oddHBand="0" w:evenHBand="1" w:firstRowFirstColumn="0" w:firstRowLastColumn="0" w:lastRowFirstColumn="0" w:lastRowLastColumn="0"/>
          <w:trHeight w:val="614"/>
          <w:tblHeader/>
        </w:trPr>
        <w:tc>
          <w:tcPr>
            <w:tcW w:w="1895" w:type="dxa"/>
            <w:shd w:val="clear" w:color="auto" w:fill="EFF0EF" w:themeFill="accent4"/>
            <w:vAlign w:val="center"/>
          </w:tcPr>
          <w:p w:rsidR="001D1810" w:rsidRPr="00F91EAD" w:rsidRDefault="001D1810" w:rsidP="0057495B">
            <w:pPr>
              <w:pStyle w:val="ListParagraph"/>
              <w:spacing w:before="0" w:after="0"/>
              <w:ind w:left="0" w:right="-62"/>
              <w:jc w:val="center"/>
              <w:rPr>
                <w:b/>
              </w:rPr>
            </w:pPr>
            <w:r w:rsidRPr="00F91EAD">
              <w:rPr>
                <w:b/>
              </w:rPr>
              <w:t>Observation</w:t>
            </w:r>
          </w:p>
        </w:tc>
        <w:tc>
          <w:tcPr>
            <w:tcW w:w="7144" w:type="dxa"/>
            <w:shd w:val="clear" w:color="auto" w:fill="auto"/>
            <w:vAlign w:val="center"/>
          </w:tcPr>
          <w:p w:rsidR="001D1810" w:rsidRPr="00F91EAD" w:rsidRDefault="001D1810" w:rsidP="0057495B">
            <w:pPr>
              <w:spacing w:before="0" w:after="0"/>
              <w:ind w:right="-62"/>
              <w:jc w:val="center"/>
              <w:rPr>
                <w:b/>
              </w:rPr>
            </w:pPr>
            <w:r w:rsidRPr="00F91EAD">
              <w:rPr>
                <w:b/>
              </w:rPr>
              <w:t>Comment</w:t>
            </w:r>
          </w:p>
        </w:tc>
      </w:tr>
      <w:tr w:rsidR="001D1810" w:rsidRPr="00D75FE8" w:rsidTr="0057495B">
        <w:trPr>
          <w:trHeight w:val="2740"/>
        </w:trPr>
        <w:tc>
          <w:tcPr>
            <w:tcW w:w="1895" w:type="dxa"/>
            <w:shd w:val="clear" w:color="auto" w:fill="EFF0EF" w:themeFill="accent4"/>
          </w:tcPr>
          <w:p w:rsidR="001D1810" w:rsidRPr="002D10F9" w:rsidRDefault="001D1810" w:rsidP="0057495B">
            <w:pPr>
              <w:pStyle w:val="Tables"/>
              <w:jc w:val="left"/>
              <w:rPr>
                <w:b/>
              </w:rPr>
            </w:pPr>
            <w:r w:rsidRPr="002D10F9">
              <w:rPr>
                <w:b/>
              </w:rPr>
              <w:t>Terminal Operations</w:t>
            </w:r>
          </w:p>
        </w:tc>
        <w:tc>
          <w:tcPr>
            <w:tcW w:w="7144" w:type="dxa"/>
            <w:shd w:val="clear" w:color="auto" w:fill="auto"/>
          </w:tcPr>
          <w:p w:rsidR="001D1810" w:rsidRDefault="001D1810" w:rsidP="00465C60">
            <w:pPr>
              <w:pStyle w:val="Bullet1"/>
              <w:numPr>
                <w:ilvl w:val="0"/>
                <w:numId w:val="0"/>
              </w:numPr>
              <w:rPr>
                <w:rFonts w:eastAsiaTheme="majorEastAsia"/>
                <w:b/>
                <w:bCs/>
                <w:color w:val="7AB800" w:themeColor="accent1"/>
              </w:rPr>
            </w:pPr>
            <w:r>
              <w:t>Australian mainland c</w:t>
            </w:r>
            <w:r w:rsidRPr="00B1490C">
              <w:t xml:space="preserve">ontainer </w:t>
            </w:r>
            <w:r>
              <w:t>terminals</w:t>
            </w:r>
            <w:r w:rsidRPr="00B1490C">
              <w:t xml:space="preserve"> adopt conventional modes of operation which utilise portainer (gantry) cranes for </w:t>
            </w:r>
            <w:r>
              <w:t>vessel</w:t>
            </w:r>
            <w:r w:rsidRPr="00B1490C">
              <w:t xml:space="preserve"> to shore loading and unloading, serviced by straddle carriers (SC) or rubber tired gantry cranes (RTGC). </w:t>
            </w:r>
          </w:p>
          <w:p w:rsidR="001D1810" w:rsidRDefault="001D1810" w:rsidP="00465C60">
            <w:pPr>
              <w:pStyle w:val="Bullet1"/>
              <w:numPr>
                <w:ilvl w:val="0"/>
                <w:numId w:val="0"/>
              </w:numPr>
              <w:rPr>
                <w:rFonts w:eastAsiaTheme="majorEastAsia"/>
                <w:b/>
                <w:bCs/>
                <w:color w:val="7AB800" w:themeColor="accent1"/>
              </w:rPr>
            </w:pPr>
            <w:r>
              <w:t>C</w:t>
            </w:r>
            <w:r w:rsidRPr="00B1490C">
              <w:t xml:space="preserve">ontainers are stored in closely aligned single rows stacked 3 to 4 high for a SC operation whereas they could be stacked 6 high and 6 wide for an RTGC operation. </w:t>
            </w:r>
          </w:p>
          <w:p w:rsidR="001D1810" w:rsidRDefault="001D1810" w:rsidP="00465C60">
            <w:pPr>
              <w:pStyle w:val="Bullet1"/>
              <w:numPr>
                <w:ilvl w:val="0"/>
                <w:numId w:val="0"/>
              </w:numPr>
              <w:rPr>
                <w:rFonts w:eastAsiaTheme="majorEastAsia"/>
                <w:b/>
                <w:bCs/>
                <w:color w:val="7AB800" w:themeColor="accent1"/>
              </w:rPr>
            </w:pPr>
            <w:r w:rsidRPr="00B1490C">
              <w:t>Increasingly in Australia and around the world, marine container terminals are being upgraded or designed for higher productivity using semi-automated rail mounted gantry cranes capable of efficiently sorting containers in stacks up to 6 high and 10 wide</w:t>
            </w:r>
            <w:r>
              <w:t>.</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Height w:val="2112"/>
        </w:trPr>
        <w:tc>
          <w:tcPr>
            <w:tcW w:w="1895" w:type="dxa"/>
            <w:shd w:val="clear" w:color="auto" w:fill="EFF0EF" w:themeFill="accent4"/>
          </w:tcPr>
          <w:p w:rsidR="001D1810" w:rsidRPr="002D10F9" w:rsidRDefault="001D1810" w:rsidP="0057495B">
            <w:pPr>
              <w:pStyle w:val="Tables"/>
              <w:jc w:val="left"/>
              <w:rPr>
                <w:b/>
              </w:rPr>
            </w:pPr>
            <w:r w:rsidRPr="002D10F9">
              <w:rPr>
                <w:b/>
              </w:rPr>
              <w:t xml:space="preserve">Performance </w:t>
            </w:r>
            <w:r w:rsidR="006C63E9">
              <w:rPr>
                <w:b/>
              </w:rPr>
              <w:t>M</w:t>
            </w:r>
            <w:r w:rsidRPr="002D10F9">
              <w:rPr>
                <w:b/>
              </w:rPr>
              <w:t>easures</w:t>
            </w:r>
          </w:p>
        </w:tc>
        <w:tc>
          <w:tcPr>
            <w:tcW w:w="7144" w:type="dxa"/>
            <w:shd w:val="clear" w:color="auto" w:fill="auto"/>
          </w:tcPr>
          <w:p w:rsidR="001D1810" w:rsidRDefault="001D1810" w:rsidP="00465C60">
            <w:pPr>
              <w:pStyle w:val="Bullet1"/>
              <w:numPr>
                <w:ilvl w:val="0"/>
                <w:numId w:val="0"/>
              </w:numPr>
              <w:rPr>
                <w:rFonts w:eastAsiaTheme="majorEastAsia"/>
                <w:b/>
                <w:bCs/>
                <w:color w:val="7AB800" w:themeColor="accent1"/>
              </w:rPr>
            </w:pPr>
            <w:r>
              <w:t>Typical indicators</w:t>
            </w:r>
            <w:r w:rsidRPr="00B1490C">
              <w:t xml:space="preserve"> to measure performance of container terminals include </w:t>
            </w:r>
            <w:r>
              <w:t>TEU</w:t>
            </w:r>
            <w:r w:rsidRPr="00B1490C">
              <w:t xml:space="preserve"> per hectare per year and </w:t>
            </w:r>
            <w:r>
              <w:t>TEU</w:t>
            </w:r>
            <w:r w:rsidRPr="00B1490C">
              <w:t xml:space="preserve"> per metre of wharf per year. </w:t>
            </w:r>
          </w:p>
          <w:p w:rsidR="001D1810" w:rsidRDefault="001D1810" w:rsidP="00465C60">
            <w:pPr>
              <w:pStyle w:val="Bullet1"/>
              <w:numPr>
                <w:ilvl w:val="0"/>
                <w:numId w:val="0"/>
              </w:numPr>
              <w:rPr>
                <w:rFonts w:eastAsiaTheme="majorEastAsia"/>
                <w:b/>
                <w:bCs/>
                <w:color w:val="7AB800" w:themeColor="accent1"/>
              </w:rPr>
            </w:pPr>
            <w:r w:rsidRPr="00B1490C">
              <w:t xml:space="preserve">Acceptable levels of performance at conventional container terminals range from 25,000 to 35,000 </w:t>
            </w:r>
            <w:r>
              <w:t>TEU</w:t>
            </w:r>
            <w:r w:rsidRPr="00B1490C">
              <w:t xml:space="preserve"> per hectare per year and 1,200 to 1,700 </w:t>
            </w:r>
            <w:r>
              <w:t>TEU</w:t>
            </w:r>
            <w:r w:rsidRPr="00B1490C">
              <w:t xml:space="preserve"> per metre of wharf per year.</w:t>
            </w:r>
          </w:p>
          <w:p w:rsidR="001D1810" w:rsidRDefault="001D1810" w:rsidP="00465C60">
            <w:pPr>
              <w:pStyle w:val="Bullet1"/>
              <w:numPr>
                <w:ilvl w:val="0"/>
                <w:numId w:val="0"/>
              </w:numPr>
              <w:rPr>
                <w:rFonts w:eastAsiaTheme="majorEastAsia"/>
                <w:b/>
                <w:bCs/>
                <w:color w:val="7AB800" w:themeColor="accent1"/>
              </w:rPr>
            </w:pPr>
            <w:r>
              <w:t xml:space="preserve">With </w:t>
            </w:r>
            <w:r w:rsidRPr="00DE6BB2">
              <w:t xml:space="preserve">semi-automated rail mounted gantry cranes </w:t>
            </w:r>
            <w:r w:rsidRPr="00B1490C">
              <w:t>facilities deliver</w:t>
            </w:r>
            <w:r>
              <w:t>ing</w:t>
            </w:r>
            <w:r w:rsidRPr="00B1490C">
              <w:t xml:space="preserve"> performance in the order of 45,000 to 50,000 </w:t>
            </w:r>
            <w:r>
              <w:t>TEU</w:t>
            </w:r>
            <w:r w:rsidRPr="00B1490C">
              <w:t xml:space="preserve"> per hectare per year and 2,000</w:t>
            </w:r>
            <w:r>
              <w:t xml:space="preserve"> TEU per metre wharf per year.</w:t>
            </w:r>
          </w:p>
        </w:tc>
      </w:tr>
      <w:tr w:rsidR="001D1810" w:rsidRPr="00D75FE8" w:rsidTr="0057495B">
        <w:trPr>
          <w:trHeight w:val="2055"/>
        </w:trPr>
        <w:tc>
          <w:tcPr>
            <w:tcW w:w="1895" w:type="dxa"/>
            <w:shd w:val="clear" w:color="auto" w:fill="EFF0EF" w:themeFill="accent4"/>
          </w:tcPr>
          <w:p w:rsidR="001D1810" w:rsidRPr="002D10F9" w:rsidRDefault="001D1810" w:rsidP="0057495B">
            <w:pPr>
              <w:pStyle w:val="Tables"/>
              <w:jc w:val="left"/>
              <w:rPr>
                <w:b/>
              </w:rPr>
            </w:pPr>
            <w:r w:rsidRPr="002D10F9">
              <w:rPr>
                <w:b/>
              </w:rPr>
              <w:t xml:space="preserve">Tasmanian </w:t>
            </w:r>
            <w:r w:rsidR="006C63E9">
              <w:rPr>
                <w:b/>
              </w:rPr>
              <w:t>P</w:t>
            </w:r>
            <w:r w:rsidRPr="002D10F9">
              <w:rPr>
                <w:b/>
              </w:rPr>
              <w:t xml:space="preserve">ort </w:t>
            </w:r>
            <w:r w:rsidR="006C63E9">
              <w:rPr>
                <w:b/>
              </w:rPr>
              <w:t>T</w:t>
            </w:r>
            <w:r w:rsidRPr="002D10F9">
              <w:rPr>
                <w:b/>
              </w:rPr>
              <w:t>erminals</w:t>
            </w:r>
          </w:p>
        </w:tc>
        <w:tc>
          <w:tcPr>
            <w:tcW w:w="7144" w:type="dxa"/>
            <w:shd w:val="clear" w:color="auto" w:fill="auto"/>
          </w:tcPr>
          <w:p w:rsidR="001D1810" w:rsidRDefault="001D1810" w:rsidP="00465C60">
            <w:pPr>
              <w:pStyle w:val="Bullet1"/>
              <w:numPr>
                <w:ilvl w:val="0"/>
                <w:numId w:val="0"/>
              </w:numPr>
              <w:rPr>
                <w:rFonts w:eastAsiaTheme="majorEastAsia"/>
                <w:b/>
                <w:bCs/>
                <w:color w:val="7AB800" w:themeColor="accent1"/>
              </w:rPr>
            </w:pPr>
            <w:r w:rsidRPr="00B1490C">
              <w:t>Reach stackers and forklifts are commonly used to handle containers at inland inte</w:t>
            </w:r>
            <w:r>
              <w:t>rmodal terminals in Australia and it is t</w:t>
            </w:r>
            <w:r w:rsidRPr="00B1490C">
              <w:t>his type of yard equipment is currently used by Toll-ANL and Sea</w:t>
            </w:r>
            <w:r>
              <w:t>R</w:t>
            </w:r>
            <w:r w:rsidRPr="00B1490C">
              <w:t xml:space="preserve">oad </w:t>
            </w:r>
            <w:r>
              <w:t xml:space="preserve">Shipping </w:t>
            </w:r>
            <w:r w:rsidRPr="00B1490C">
              <w:t>to load and unload containers on Mafi trailers and cassettes respectively.</w:t>
            </w:r>
          </w:p>
          <w:p w:rsidR="001D1810" w:rsidRDefault="001D1810" w:rsidP="00465C60">
            <w:pPr>
              <w:pStyle w:val="Bullet1"/>
              <w:numPr>
                <w:ilvl w:val="0"/>
                <w:numId w:val="0"/>
              </w:numPr>
              <w:rPr>
                <w:rFonts w:eastAsiaTheme="majorEastAsia"/>
                <w:b/>
                <w:bCs/>
                <w:color w:val="7AB800" w:themeColor="accent1"/>
              </w:rPr>
            </w:pPr>
            <w:r w:rsidRPr="00B1490C">
              <w:t xml:space="preserve">This method is also used for smaller marine container ports around the world supported by portainer (gantry) cranes or mobile harbour cranes (MHC) for </w:t>
            </w:r>
            <w:r>
              <w:t>vessel</w:t>
            </w:r>
            <w:r w:rsidRPr="00B1490C">
              <w:t xml:space="preserve"> to shore moves. Reach-stackers typically stack containers up to 3 high and 3 wide and are effective for operations up to around 250,000 </w:t>
            </w:r>
            <w:r>
              <w:t>TEU</w:t>
            </w:r>
            <w:r w:rsidRPr="00B1490C">
              <w:t xml:space="preserve"> per year</w:t>
            </w:r>
            <w:r>
              <w:t>.</w:t>
            </w:r>
          </w:p>
          <w:p w:rsidR="001D1810" w:rsidRDefault="001D1810" w:rsidP="00465C60">
            <w:pPr>
              <w:pStyle w:val="Bullet1"/>
              <w:numPr>
                <w:ilvl w:val="0"/>
                <w:numId w:val="0"/>
              </w:numPr>
              <w:rPr>
                <w:rFonts w:eastAsiaTheme="majorEastAsia"/>
                <w:b/>
                <w:bCs/>
                <w:color w:val="7AB800" w:themeColor="accent1"/>
              </w:rPr>
            </w:pPr>
            <w:r>
              <w:t>The performance</w:t>
            </w:r>
            <w:r w:rsidRPr="00B1490C">
              <w:t xml:space="preserve"> rate </w:t>
            </w:r>
            <w:r>
              <w:t>being calculated at</w:t>
            </w:r>
            <w:r w:rsidRPr="00B1490C">
              <w:t xml:space="preserve"> 15</w:t>
            </w:r>
            <w:r>
              <w:t xml:space="preserve">,000 TEU per hectare per year. </w:t>
            </w:r>
          </w:p>
          <w:p w:rsidR="001D1810" w:rsidRDefault="001D1810" w:rsidP="00465C60">
            <w:pPr>
              <w:pStyle w:val="Bullet1"/>
              <w:numPr>
                <w:ilvl w:val="0"/>
                <w:numId w:val="0"/>
              </w:numPr>
              <w:rPr>
                <w:rFonts w:eastAsiaTheme="majorEastAsia"/>
                <w:b/>
                <w:bCs/>
                <w:color w:val="7AB800" w:themeColor="accent1"/>
              </w:rPr>
            </w:pPr>
            <w:r w:rsidRPr="00B1490C">
              <w:t>Another mode of operation involves forklifts and chassis for handling containers in the yard. This system was once used almost exclusively in the USA but is rapidly being phased-out. Containers are stored on chassis and are therefore restricted to a single height “stack” on wheels. This is a very inefficient use of valuable port property</w:t>
            </w:r>
            <w:r>
              <w:t>.</w:t>
            </w:r>
          </w:p>
          <w:p w:rsidR="001D1810" w:rsidRDefault="001D1810" w:rsidP="00465C60">
            <w:pPr>
              <w:pStyle w:val="Bullet1"/>
              <w:numPr>
                <w:ilvl w:val="0"/>
                <w:numId w:val="0"/>
              </w:numPr>
              <w:rPr>
                <w:rFonts w:eastAsiaTheme="majorEastAsia"/>
                <w:b/>
                <w:bCs/>
                <w:color w:val="7AB800" w:themeColor="accent1"/>
              </w:rPr>
            </w:pPr>
            <w:r>
              <w:t>The performance</w:t>
            </w:r>
            <w:r w:rsidRPr="00B1490C">
              <w:t xml:space="preserve"> rate </w:t>
            </w:r>
            <w:r>
              <w:t>being calculated at</w:t>
            </w:r>
            <w:r w:rsidRPr="00B1490C">
              <w:t xml:space="preserve"> </w:t>
            </w:r>
            <w:r>
              <w:t>TEU</w:t>
            </w:r>
            <w:r w:rsidRPr="00B1490C">
              <w:t xml:space="preserve"> per hectare per year.  </w:t>
            </w:r>
          </w:p>
        </w:tc>
      </w:tr>
    </w:tbl>
    <w:p w:rsidR="001D1810" w:rsidRDefault="001D1810" w:rsidP="001D1810">
      <w:pPr>
        <w:rPr>
          <w:sz w:val="22"/>
          <w:szCs w:val="22"/>
        </w:rPr>
      </w:pPr>
    </w:p>
    <w:p w:rsidR="004A0B52" w:rsidRDefault="004A0B52">
      <w:pPr>
        <w:spacing w:after="200"/>
        <w:jc w:val="left"/>
      </w:pPr>
      <w:r>
        <w:br w:type="page"/>
      </w:r>
    </w:p>
    <w:tbl>
      <w:tblPr>
        <w:tblStyle w:val="Style1"/>
        <w:tblpPr w:leftFromText="180" w:rightFromText="180" w:vertAnchor="text" w:horzAnchor="margin" w:tblpY="813"/>
        <w:tblW w:w="9465" w:type="dxa"/>
        <w:jc w:val="left"/>
        <w:tblLayout w:type="fixed"/>
        <w:tblLook w:val="04A0" w:firstRow="1" w:lastRow="0" w:firstColumn="1" w:lastColumn="0" w:noHBand="0" w:noVBand="1"/>
      </w:tblPr>
      <w:tblGrid>
        <w:gridCol w:w="1526"/>
        <w:gridCol w:w="1773"/>
        <w:gridCol w:w="1204"/>
        <w:gridCol w:w="1134"/>
        <w:gridCol w:w="850"/>
        <w:gridCol w:w="992"/>
        <w:gridCol w:w="993"/>
        <w:gridCol w:w="993"/>
      </w:tblGrid>
      <w:tr w:rsidR="004A0B52" w:rsidRPr="006C4E82" w:rsidTr="00D97AC4">
        <w:trPr>
          <w:cnfStyle w:val="100000000000" w:firstRow="1" w:lastRow="0" w:firstColumn="0" w:lastColumn="0" w:oddVBand="0" w:evenVBand="0" w:oddHBand="0" w:evenHBand="0" w:firstRowFirstColumn="0" w:firstRowLastColumn="0" w:lastRowFirstColumn="0" w:lastRowLastColumn="0"/>
          <w:tblHeader/>
          <w:jc w:val="left"/>
        </w:trPr>
        <w:tc>
          <w:tcPr>
            <w:cnfStyle w:val="001000000000" w:firstRow="0" w:lastRow="0" w:firstColumn="1" w:lastColumn="0" w:oddVBand="0" w:evenVBand="0" w:oddHBand="0" w:evenHBand="0" w:firstRowFirstColumn="0" w:firstRowLastColumn="0" w:lastRowFirstColumn="0" w:lastRowLastColumn="0"/>
            <w:tcW w:w="1526" w:type="dxa"/>
          </w:tcPr>
          <w:p w:rsidR="004A0B52" w:rsidRPr="00DA041E" w:rsidRDefault="004A0B52" w:rsidP="004A0B52">
            <w:pPr>
              <w:spacing w:before="144" w:after="144"/>
              <w:jc w:val="center"/>
              <w:rPr>
                <w:rFonts w:ascii="Calibri" w:eastAsia="Times New Roman" w:hAnsi="Calibri" w:cs="Times New Roman"/>
                <w:color w:val="000000"/>
                <w:sz w:val="22"/>
                <w:szCs w:val="22"/>
                <w:lang w:eastAsia="en-GB"/>
              </w:rPr>
            </w:pPr>
            <w:r w:rsidRPr="00DA041E">
              <w:rPr>
                <w:rFonts w:ascii="Calibri" w:eastAsia="Times New Roman" w:hAnsi="Calibri" w:cs="Times New Roman"/>
                <w:color w:val="000000"/>
                <w:sz w:val="22"/>
                <w:szCs w:val="22"/>
                <w:lang w:eastAsia="en-GB"/>
              </w:rPr>
              <w:t xml:space="preserve">Port (Berth) </w:t>
            </w:r>
          </w:p>
        </w:tc>
        <w:tc>
          <w:tcPr>
            <w:tcW w:w="1773" w:type="dxa"/>
          </w:tcPr>
          <w:p w:rsidR="004A0B52" w:rsidRPr="00DA041E" w:rsidRDefault="004A0B52" w:rsidP="004A0B52">
            <w:pPr>
              <w:spacing w:before="144" w:after="14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en-GB"/>
              </w:rPr>
            </w:pPr>
            <w:r w:rsidRPr="00DA041E">
              <w:rPr>
                <w:rFonts w:ascii="Calibri" w:eastAsia="Times New Roman" w:hAnsi="Calibri" w:cs="Times New Roman"/>
                <w:color w:val="000000"/>
                <w:sz w:val="22"/>
                <w:szCs w:val="22"/>
                <w:lang w:eastAsia="en-GB"/>
              </w:rPr>
              <w:t>Operator</w:t>
            </w:r>
          </w:p>
        </w:tc>
        <w:tc>
          <w:tcPr>
            <w:tcW w:w="1204" w:type="dxa"/>
          </w:tcPr>
          <w:p w:rsidR="004A0B52" w:rsidRPr="00DA041E" w:rsidRDefault="004A0B52" w:rsidP="004A0B52">
            <w:pPr>
              <w:spacing w:before="144" w:after="14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en-GB"/>
              </w:rPr>
            </w:pPr>
            <w:r w:rsidRPr="00DA041E">
              <w:rPr>
                <w:rFonts w:ascii="Calibri" w:eastAsia="Times New Roman" w:hAnsi="Calibri" w:cs="Times New Roman"/>
                <w:color w:val="000000"/>
                <w:sz w:val="22"/>
                <w:szCs w:val="22"/>
                <w:lang w:eastAsia="en-GB"/>
              </w:rPr>
              <w:t xml:space="preserve">Type </w:t>
            </w:r>
          </w:p>
        </w:tc>
        <w:tc>
          <w:tcPr>
            <w:tcW w:w="1134" w:type="dxa"/>
          </w:tcPr>
          <w:p w:rsidR="004A0B52" w:rsidRPr="00DA041E" w:rsidRDefault="004A0B52" w:rsidP="004A0B52">
            <w:pPr>
              <w:spacing w:before="144" w:after="14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en-GB"/>
              </w:rPr>
            </w:pPr>
            <w:r w:rsidRPr="00DA041E">
              <w:rPr>
                <w:rFonts w:ascii="Calibri" w:eastAsia="Times New Roman" w:hAnsi="Calibri" w:cs="Times New Roman"/>
                <w:color w:val="000000"/>
                <w:sz w:val="22"/>
                <w:szCs w:val="22"/>
                <w:lang w:eastAsia="en-GB"/>
              </w:rPr>
              <w:t xml:space="preserve">TEU/Year </w:t>
            </w:r>
          </w:p>
        </w:tc>
        <w:tc>
          <w:tcPr>
            <w:tcW w:w="850" w:type="dxa"/>
          </w:tcPr>
          <w:p w:rsidR="004A0B52" w:rsidRPr="00DA041E" w:rsidRDefault="004A0B52" w:rsidP="004A0B52">
            <w:pPr>
              <w:spacing w:before="144" w:after="14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en-GB"/>
              </w:rPr>
            </w:pPr>
            <w:r w:rsidRPr="00DA041E">
              <w:rPr>
                <w:rFonts w:ascii="Calibri" w:eastAsia="Times New Roman" w:hAnsi="Calibri" w:cs="Times New Roman"/>
                <w:color w:val="000000"/>
                <w:sz w:val="22"/>
                <w:szCs w:val="22"/>
                <w:lang w:eastAsia="en-GB"/>
              </w:rPr>
              <w:t>Area (Ha)</w:t>
            </w:r>
          </w:p>
        </w:tc>
        <w:tc>
          <w:tcPr>
            <w:tcW w:w="992" w:type="dxa"/>
          </w:tcPr>
          <w:p w:rsidR="004A0B52" w:rsidRPr="00DA041E" w:rsidRDefault="004A0B52" w:rsidP="004A0B52">
            <w:pPr>
              <w:spacing w:before="144" w:after="14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en-GB"/>
              </w:rPr>
            </w:pPr>
            <w:r w:rsidRPr="00DA041E">
              <w:rPr>
                <w:rFonts w:ascii="Calibri" w:eastAsia="Times New Roman" w:hAnsi="Calibri" w:cs="Times New Roman"/>
                <w:color w:val="000000"/>
                <w:sz w:val="22"/>
                <w:szCs w:val="22"/>
                <w:lang w:eastAsia="en-GB"/>
              </w:rPr>
              <w:t>Berth (m)</w:t>
            </w:r>
          </w:p>
        </w:tc>
        <w:tc>
          <w:tcPr>
            <w:tcW w:w="993" w:type="dxa"/>
          </w:tcPr>
          <w:p w:rsidR="004A0B52" w:rsidRPr="00DA041E" w:rsidRDefault="004A0B52" w:rsidP="004A0B52">
            <w:pPr>
              <w:spacing w:before="144" w:after="14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en-GB"/>
              </w:rPr>
            </w:pPr>
            <w:r w:rsidRPr="00DA041E">
              <w:rPr>
                <w:rFonts w:ascii="Calibri" w:eastAsia="Times New Roman" w:hAnsi="Calibri" w:cs="Times New Roman"/>
                <w:color w:val="000000"/>
                <w:sz w:val="22"/>
                <w:szCs w:val="22"/>
                <w:lang w:eastAsia="en-GB"/>
              </w:rPr>
              <w:t>TEU/Ha</w:t>
            </w:r>
            <w:r w:rsidRPr="00DA041E">
              <w:rPr>
                <w:rFonts w:ascii="Calibri" w:eastAsia="Times New Roman" w:hAnsi="Calibri" w:cs="Times New Roman"/>
                <w:color w:val="000000"/>
                <w:sz w:val="22"/>
                <w:szCs w:val="22"/>
                <w:lang w:eastAsia="en-GB"/>
              </w:rPr>
              <w:br/>
              <w:t>Yard</w:t>
            </w:r>
          </w:p>
        </w:tc>
        <w:tc>
          <w:tcPr>
            <w:tcW w:w="993" w:type="dxa"/>
          </w:tcPr>
          <w:p w:rsidR="004A0B52" w:rsidRPr="00DA041E" w:rsidRDefault="004A0B52" w:rsidP="004A0B52">
            <w:pPr>
              <w:spacing w:before="144" w:after="14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en-GB"/>
              </w:rPr>
            </w:pPr>
            <w:r w:rsidRPr="00DA041E">
              <w:rPr>
                <w:rFonts w:ascii="Calibri" w:eastAsia="Times New Roman" w:hAnsi="Calibri" w:cs="Times New Roman"/>
                <w:color w:val="000000"/>
                <w:sz w:val="22"/>
                <w:szCs w:val="22"/>
                <w:lang w:eastAsia="en-GB"/>
              </w:rPr>
              <w:t>TEU/m Berth</w:t>
            </w:r>
          </w:p>
        </w:tc>
      </w:tr>
      <w:tr w:rsidR="004A0B52" w:rsidRPr="006C4E82" w:rsidTr="00D97AC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1526" w:type="dxa"/>
          </w:tcPr>
          <w:p w:rsidR="003925FA" w:rsidRDefault="004A0B52" w:rsidP="00D75D2B">
            <w:pPr>
              <w:spacing w:beforeLines="60" w:before="144" w:afterLines="60" w:after="144"/>
              <w:jc w:val="left"/>
              <w:rPr>
                <w:rFonts w:ascii="Calibri" w:eastAsia="Times New Roman" w:hAnsi="Calibri" w:cs="Times New Roman"/>
                <w:color w:val="000000"/>
                <w:sz w:val="22"/>
                <w:szCs w:val="22"/>
                <w:lang w:eastAsia="en-GB"/>
              </w:rPr>
            </w:pPr>
            <w:r w:rsidRPr="006C4E82">
              <w:rPr>
                <w:rFonts w:ascii="Calibri" w:eastAsia="Times New Roman" w:hAnsi="Calibri" w:cs="Times New Roman"/>
                <w:color w:val="000000"/>
                <w:sz w:val="22"/>
                <w:szCs w:val="22"/>
                <w:lang w:eastAsia="en-GB"/>
              </w:rPr>
              <w:t xml:space="preserve">Burnie (Berth4)  </w:t>
            </w:r>
          </w:p>
        </w:tc>
        <w:tc>
          <w:tcPr>
            <w:tcW w:w="1773"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Toll-ANL</w:t>
            </w:r>
          </w:p>
        </w:tc>
        <w:tc>
          <w:tcPr>
            <w:tcW w:w="1204"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Pr>
                <w:rFonts w:ascii="Calibri" w:eastAsia="Times New Roman" w:hAnsi="Calibri" w:cs="Times New Roman"/>
                <w:color w:val="000000"/>
                <w:sz w:val="22"/>
                <w:szCs w:val="22"/>
                <w:lang w:eastAsia="en-GB"/>
              </w:rPr>
              <w:t>RORO</w:t>
            </w:r>
          </w:p>
        </w:tc>
        <w:tc>
          <w:tcPr>
            <w:tcW w:w="1134"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242,284</w:t>
            </w:r>
          </w:p>
        </w:tc>
        <w:tc>
          <w:tcPr>
            <w:tcW w:w="850"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6</w:t>
            </w:r>
          </w:p>
        </w:tc>
        <w:tc>
          <w:tcPr>
            <w:tcW w:w="992"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180</w:t>
            </w:r>
          </w:p>
        </w:tc>
        <w:tc>
          <w:tcPr>
            <w:tcW w:w="993"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40,380</w:t>
            </w:r>
          </w:p>
        </w:tc>
        <w:tc>
          <w:tcPr>
            <w:tcW w:w="993"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1</w:t>
            </w:r>
            <w:r>
              <w:rPr>
                <w:rFonts w:ascii="Calibri" w:eastAsia="Times New Roman" w:hAnsi="Calibri" w:cs="Times New Roman"/>
                <w:color w:val="000000"/>
                <w:sz w:val="22"/>
                <w:szCs w:val="22"/>
                <w:lang w:eastAsia="en-GB"/>
              </w:rPr>
              <w:t>,</w:t>
            </w:r>
            <w:r w:rsidRPr="006C4E82">
              <w:rPr>
                <w:rFonts w:ascii="Calibri" w:eastAsia="Times New Roman" w:hAnsi="Calibri" w:cs="Times New Roman"/>
                <w:color w:val="000000"/>
                <w:sz w:val="22"/>
                <w:szCs w:val="22"/>
                <w:lang w:eastAsia="en-GB"/>
              </w:rPr>
              <w:t>345</w:t>
            </w:r>
          </w:p>
        </w:tc>
      </w:tr>
      <w:tr w:rsidR="004A0B52" w:rsidRPr="006C4E82" w:rsidTr="00D97AC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1526" w:type="dxa"/>
          </w:tcPr>
          <w:p w:rsidR="003925FA" w:rsidRDefault="004A0B52" w:rsidP="00D75D2B">
            <w:pPr>
              <w:spacing w:beforeLines="60" w:before="144" w:afterLines="60" w:after="144"/>
              <w:jc w:val="left"/>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 xml:space="preserve">Devonport (Berth 2) </w:t>
            </w:r>
          </w:p>
        </w:tc>
        <w:tc>
          <w:tcPr>
            <w:tcW w:w="1773"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Pr>
                <w:rFonts w:ascii="Calibri" w:eastAsia="Times New Roman" w:hAnsi="Calibri" w:cs="Times New Roman"/>
                <w:color w:val="000000"/>
                <w:sz w:val="22"/>
                <w:szCs w:val="22"/>
                <w:lang w:eastAsia="en-GB"/>
              </w:rPr>
              <w:t>SeaR</w:t>
            </w:r>
            <w:r w:rsidRPr="006C4E82">
              <w:rPr>
                <w:rFonts w:ascii="Calibri" w:eastAsia="Times New Roman" w:hAnsi="Calibri" w:cs="Times New Roman"/>
                <w:color w:val="000000"/>
                <w:sz w:val="22"/>
                <w:szCs w:val="22"/>
                <w:lang w:eastAsia="en-GB"/>
              </w:rPr>
              <w:t>oad</w:t>
            </w:r>
            <w:r>
              <w:rPr>
                <w:rFonts w:ascii="Calibri" w:eastAsia="Times New Roman" w:hAnsi="Calibri" w:cs="Times New Roman"/>
                <w:color w:val="000000"/>
                <w:sz w:val="22"/>
                <w:szCs w:val="22"/>
                <w:lang w:eastAsia="en-GB"/>
              </w:rPr>
              <w:t xml:space="preserve"> Shipping</w:t>
            </w:r>
          </w:p>
        </w:tc>
        <w:tc>
          <w:tcPr>
            <w:tcW w:w="1204"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Pr>
                <w:rFonts w:ascii="Calibri" w:eastAsia="Times New Roman" w:hAnsi="Calibri" w:cs="Times New Roman"/>
                <w:color w:val="000000"/>
                <w:sz w:val="22"/>
                <w:szCs w:val="22"/>
                <w:lang w:eastAsia="en-GB"/>
              </w:rPr>
              <w:t>RORO</w:t>
            </w:r>
          </w:p>
        </w:tc>
        <w:tc>
          <w:tcPr>
            <w:tcW w:w="1134"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105,000</w:t>
            </w:r>
          </w:p>
        </w:tc>
        <w:tc>
          <w:tcPr>
            <w:tcW w:w="850"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7</w:t>
            </w:r>
          </w:p>
        </w:tc>
        <w:tc>
          <w:tcPr>
            <w:tcW w:w="992"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180</w:t>
            </w:r>
          </w:p>
        </w:tc>
        <w:tc>
          <w:tcPr>
            <w:tcW w:w="993"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15,000</w:t>
            </w:r>
          </w:p>
        </w:tc>
        <w:tc>
          <w:tcPr>
            <w:tcW w:w="993"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583</w:t>
            </w:r>
          </w:p>
        </w:tc>
      </w:tr>
      <w:tr w:rsidR="004A0B52" w:rsidRPr="006C4E82" w:rsidTr="00D97AC4">
        <w:trPr>
          <w:cnfStyle w:val="000000100000" w:firstRow="0" w:lastRow="0" w:firstColumn="0" w:lastColumn="0" w:oddVBand="0" w:evenVBand="0" w:oddHBand="1" w:evenHBand="0" w:firstRowFirstColumn="0" w:firstRowLastColumn="0" w:lastRowFirstColumn="0" w:lastRowLastColumn="0"/>
          <w:trHeight w:val="849"/>
          <w:jc w:val="left"/>
        </w:trPr>
        <w:tc>
          <w:tcPr>
            <w:cnfStyle w:val="001000000000" w:firstRow="0" w:lastRow="0" w:firstColumn="1" w:lastColumn="0" w:oddVBand="0" w:evenVBand="0" w:oddHBand="0" w:evenHBand="0" w:firstRowFirstColumn="0" w:firstRowLastColumn="0" w:lastRowFirstColumn="0" w:lastRowLastColumn="0"/>
            <w:tcW w:w="1526" w:type="dxa"/>
          </w:tcPr>
          <w:p w:rsidR="003925FA" w:rsidRDefault="004A0B52" w:rsidP="00D75D2B">
            <w:pPr>
              <w:spacing w:beforeLines="60" w:before="144" w:afterLines="60" w:after="144"/>
              <w:jc w:val="left"/>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Devonport</w:t>
            </w:r>
            <w:r w:rsidRPr="006C4E82">
              <w:rPr>
                <w:rFonts w:ascii="Calibri" w:eastAsia="Times New Roman" w:hAnsi="Calibri" w:cs="Times New Roman"/>
                <w:color w:val="000000"/>
                <w:sz w:val="22"/>
                <w:szCs w:val="22"/>
                <w:lang w:eastAsia="en-GB"/>
              </w:rPr>
              <w:br/>
              <w:t>(Berth 1)</w:t>
            </w:r>
          </w:p>
        </w:tc>
        <w:tc>
          <w:tcPr>
            <w:tcW w:w="1773"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TT-Line</w:t>
            </w:r>
          </w:p>
        </w:tc>
        <w:tc>
          <w:tcPr>
            <w:tcW w:w="1204"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Pr>
                <w:rFonts w:ascii="Calibri" w:eastAsia="Times New Roman" w:hAnsi="Calibri" w:cs="Times New Roman"/>
                <w:color w:val="000000"/>
                <w:sz w:val="22"/>
                <w:szCs w:val="22"/>
                <w:lang w:eastAsia="en-GB"/>
              </w:rPr>
              <w:t>RORO</w:t>
            </w:r>
          </w:p>
        </w:tc>
        <w:tc>
          <w:tcPr>
            <w:tcW w:w="1134"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95,000</w:t>
            </w:r>
          </w:p>
        </w:tc>
        <w:tc>
          <w:tcPr>
            <w:tcW w:w="850"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2</w:t>
            </w:r>
          </w:p>
        </w:tc>
        <w:tc>
          <w:tcPr>
            <w:tcW w:w="992"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115</w:t>
            </w:r>
          </w:p>
        </w:tc>
        <w:tc>
          <w:tcPr>
            <w:tcW w:w="993"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47,500</w:t>
            </w:r>
          </w:p>
        </w:tc>
        <w:tc>
          <w:tcPr>
            <w:tcW w:w="993"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825</w:t>
            </w:r>
          </w:p>
        </w:tc>
      </w:tr>
      <w:tr w:rsidR="004A0B52" w:rsidRPr="006C4E82" w:rsidTr="00D97AC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1526" w:type="dxa"/>
          </w:tcPr>
          <w:p w:rsidR="003925FA" w:rsidRDefault="004A0B52" w:rsidP="00D75D2B">
            <w:pPr>
              <w:spacing w:beforeLines="60" w:before="144" w:afterLines="60" w:after="144"/>
              <w:jc w:val="left"/>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 xml:space="preserve">Melbourne </w:t>
            </w:r>
            <w:r w:rsidRPr="006C4E82">
              <w:rPr>
                <w:rFonts w:ascii="Calibri" w:eastAsia="Times New Roman" w:hAnsi="Calibri" w:cs="Times New Roman"/>
                <w:color w:val="000000"/>
                <w:sz w:val="22"/>
                <w:szCs w:val="22"/>
                <w:lang w:eastAsia="en-GB"/>
              </w:rPr>
              <w:br/>
              <w:t>(Swanson)</w:t>
            </w:r>
          </w:p>
        </w:tc>
        <w:tc>
          <w:tcPr>
            <w:tcW w:w="1773"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 xml:space="preserve">Patrick (East) </w:t>
            </w:r>
            <w:r w:rsidRPr="006C4E82">
              <w:rPr>
                <w:rFonts w:ascii="Calibri" w:eastAsia="Times New Roman" w:hAnsi="Calibri" w:cs="Times New Roman"/>
                <w:color w:val="000000"/>
                <w:sz w:val="22"/>
                <w:szCs w:val="22"/>
                <w:lang w:eastAsia="en-GB"/>
              </w:rPr>
              <w:br/>
              <w:t xml:space="preserve">DP World (West) </w:t>
            </w:r>
          </w:p>
        </w:tc>
        <w:tc>
          <w:tcPr>
            <w:tcW w:w="1204"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Container</w:t>
            </w:r>
          </w:p>
        </w:tc>
        <w:tc>
          <w:tcPr>
            <w:tcW w:w="1134"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2,579,097</w:t>
            </w:r>
          </w:p>
        </w:tc>
        <w:tc>
          <w:tcPr>
            <w:tcW w:w="850"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74</w:t>
            </w:r>
          </w:p>
        </w:tc>
        <w:tc>
          <w:tcPr>
            <w:tcW w:w="992"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1</w:t>
            </w:r>
            <w:r>
              <w:rPr>
                <w:rFonts w:ascii="Calibri" w:eastAsia="Times New Roman" w:hAnsi="Calibri" w:cs="Times New Roman"/>
                <w:color w:val="000000"/>
                <w:sz w:val="22"/>
                <w:szCs w:val="22"/>
                <w:lang w:eastAsia="en-GB"/>
              </w:rPr>
              <w:t>,</w:t>
            </w:r>
            <w:r w:rsidRPr="006C4E82">
              <w:rPr>
                <w:rFonts w:ascii="Calibri" w:eastAsia="Times New Roman" w:hAnsi="Calibri" w:cs="Times New Roman"/>
                <w:color w:val="000000"/>
                <w:sz w:val="22"/>
                <w:szCs w:val="22"/>
                <w:lang w:eastAsia="en-GB"/>
              </w:rPr>
              <w:t>830</w:t>
            </w:r>
          </w:p>
        </w:tc>
        <w:tc>
          <w:tcPr>
            <w:tcW w:w="993"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34,850</w:t>
            </w:r>
          </w:p>
        </w:tc>
        <w:tc>
          <w:tcPr>
            <w:tcW w:w="993"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1</w:t>
            </w:r>
            <w:r>
              <w:rPr>
                <w:rFonts w:ascii="Calibri" w:eastAsia="Times New Roman" w:hAnsi="Calibri" w:cs="Times New Roman"/>
                <w:color w:val="000000"/>
                <w:sz w:val="22"/>
                <w:szCs w:val="22"/>
                <w:lang w:eastAsia="en-GB"/>
              </w:rPr>
              <w:t>,</w:t>
            </w:r>
            <w:r w:rsidRPr="006C4E82">
              <w:rPr>
                <w:rFonts w:ascii="Calibri" w:eastAsia="Times New Roman" w:hAnsi="Calibri" w:cs="Times New Roman"/>
                <w:color w:val="000000"/>
                <w:sz w:val="22"/>
                <w:szCs w:val="22"/>
                <w:lang w:eastAsia="en-GB"/>
              </w:rPr>
              <w:t>410</w:t>
            </w:r>
          </w:p>
        </w:tc>
      </w:tr>
      <w:tr w:rsidR="004A0B52" w:rsidRPr="006C4E82" w:rsidTr="00D97AC4">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1526" w:type="dxa"/>
          </w:tcPr>
          <w:p w:rsidR="003925FA" w:rsidRDefault="004A0B52" w:rsidP="00D75D2B">
            <w:pPr>
              <w:spacing w:beforeLines="60" w:before="144" w:afterLines="60" w:after="144"/>
              <w:jc w:val="left"/>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 xml:space="preserve">Sydney </w:t>
            </w:r>
            <w:r w:rsidRPr="006C4E82">
              <w:rPr>
                <w:rFonts w:ascii="Calibri" w:eastAsia="Times New Roman" w:hAnsi="Calibri" w:cs="Times New Roman"/>
                <w:color w:val="000000"/>
                <w:sz w:val="22"/>
                <w:szCs w:val="22"/>
                <w:lang w:eastAsia="en-GB"/>
              </w:rPr>
              <w:br/>
              <w:t>(Brotherson)</w:t>
            </w:r>
          </w:p>
        </w:tc>
        <w:tc>
          <w:tcPr>
            <w:tcW w:w="1773"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DP World  (South)</w:t>
            </w:r>
            <w:r w:rsidRPr="006C4E82">
              <w:rPr>
                <w:rFonts w:ascii="Calibri" w:eastAsia="Times New Roman" w:hAnsi="Calibri" w:cs="Times New Roman"/>
                <w:color w:val="000000"/>
                <w:sz w:val="22"/>
                <w:szCs w:val="22"/>
                <w:lang w:eastAsia="en-GB"/>
              </w:rPr>
              <w:br/>
              <w:t>Patrick (North)</w:t>
            </w:r>
          </w:p>
        </w:tc>
        <w:tc>
          <w:tcPr>
            <w:tcW w:w="1204"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Container</w:t>
            </w:r>
          </w:p>
        </w:tc>
        <w:tc>
          <w:tcPr>
            <w:tcW w:w="1134"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2,036,142</w:t>
            </w:r>
          </w:p>
        </w:tc>
        <w:tc>
          <w:tcPr>
            <w:tcW w:w="850"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82</w:t>
            </w:r>
          </w:p>
        </w:tc>
        <w:tc>
          <w:tcPr>
            <w:tcW w:w="992"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1</w:t>
            </w:r>
            <w:r>
              <w:rPr>
                <w:rFonts w:ascii="Calibri" w:eastAsia="Times New Roman" w:hAnsi="Calibri" w:cs="Times New Roman"/>
                <w:color w:val="000000"/>
                <w:sz w:val="22"/>
                <w:szCs w:val="22"/>
                <w:lang w:eastAsia="en-GB"/>
              </w:rPr>
              <w:t>,</w:t>
            </w:r>
            <w:r w:rsidRPr="006C4E82">
              <w:rPr>
                <w:rFonts w:ascii="Calibri" w:eastAsia="Times New Roman" w:hAnsi="Calibri" w:cs="Times New Roman"/>
                <w:color w:val="000000"/>
                <w:sz w:val="22"/>
                <w:szCs w:val="22"/>
                <w:lang w:eastAsia="en-GB"/>
              </w:rPr>
              <w:t>990</w:t>
            </w:r>
          </w:p>
        </w:tc>
        <w:tc>
          <w:tcPr>
            <w:tcW w:w="993"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24,830</w:t>
            </w:r>
          </w:p>
        </w:tc>
        <w:tc>
          <w:tcPr>
            <w:tcW w:w="993" w:type="dxa"/>
          </w:tcPr>
          <w:p w:rsidR="003925FA" w:rsidRDefault="004A0B52" w:rsidP="00D75D2B">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1</w:t>
            </w:r>
            <w:r>
              <w:rPr>
                <w:rFonts w:ascii="Calibri" w:eastAsia="Times New Roman" w:hAnsi="Calibri" w:cs="Times New Roman"/>
                <w:color w:val="000000"/>
                <w:sz w:val="22"/>
                <w:szCs w:val="22"/>
                <w:lang w:eastAsia="en-GB"/>
              </w:rPr>
              <w:t>,</w:t>
            </w:r>
            <w:r w:rsidRPr="006C4E82">
              <w:rPr>
                <w:rFonts w:ascii="Calibri" w:eastAsia="Times New Roman" w:hAnsi="Calibri" w:cs="Times New Roman"/>
                <w:color w:val="000000"/>
                <w:sz w:val="22"/>
                <w:szCs w:val="22"/>
                <w:lang w:eastAsia="en-GB"/>
              </w:rPr>
              <w:t>025</w:t>
            </w:r>
          </w:p>
        </w:tc>
      </w:tr>
      <w:tr w:rsidR="004A0B52" w:rsidRPr="006C4E82" w:rsidTr="00D97AC4">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1526" w:type="dxa"/>
          </w:tcPr>
          <w:p w:rsidR="003925FA" w:rsidRDefault="004A0B52" w:rsidP="00D75D2B">
            <w:pPr>
              <w:spacing w:beforeLines="60" w:before="144" w:afterLines="60" w:after="144"/>
              <w:jc w:val="left"/>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Adelaide (Berths 6&amp;7)</w:t>
            </w:r>
          </w:p>
        </w:tc>
        <w:tc>
          <w:tcPr>
            <w:tcW w:w="1773"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Flinders Ports</w:t>
            </w:r>
          </w:p>
        </w:tc>
        <w:tc>
          <w:tcPr>
            <w:tcW w:w="1204"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Container</w:t>
            </w:r>
          </w:p>
        </w:tc>
        <w:tc>
          <w:tcPr>
            <w:tcW w:w="1134"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323,832</w:t>
            </w:r>
          </w:p>
        </w:tc>
        <w:tc>
          <w:tcPr>
            <w:tcW w:w="850"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24</w:t>
            </w:r>
          </w:p>
        </w:tc>
        <w:tc>
          <w:tcPr>
            <w:tcW w:w="992"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620</w:t>
            </w:r>
          </w:p>
        </w:tc>
        <w:tc>
          <w:tcPr>
            <w:tcW w:w="993" w:type="dxa"/>
          </w:tcPr>
          <w:p w:rsidR="003925FA" w:rsidRDefault="004A0B52" w:rsidP="00D75D2B">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13,495</w:t>
            </w:r>
          </w:p>
        </w:tc>
        <w:tc>
          <w:tcPr>
            <w:tcW w:w="993" w:type="dxa"/>
          </w:tcPr>
          <w:p w:rsidR="003925FA" w:rsidRDefault="004A0B52" w:rsidP="00D75D2B">
            <w:pPr>
              <w:keepNext/>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22"/>
                <w:szCs w:val="22"/>
                <w:lang w:eastAsia="en-GB"/>
              </w:rPr>
            </w:pPr>
            <w:r w:rsidRPr="006C4E82">
              <w:rPr>
                <w:rFonts w:ascii="Calibri" w:eastAsia="Times New Roman" w:hAnsi="Calibri" w:cs="Times New Roman"/>
                <w:color w:val="000000"/>
                <w:sz w:val="22"/>
                <w:szCs w:val="22"/>
                <w:lang w:eastAsia="en-GB"/>
              </w:rPr>
              <w:t>520</w:t>
            </w:r>
          </w:p>
        </w:tc>
      </w:tr>
    </w:tbl>
    <w:p w:rsidR="001D1810" w:rsidRPr="009A1986" w:rsidRDefault="001D1810" w:rsidP="009A1986">
      <w:r w:rsidRPr="00D965E7">
        <w:t>The characteristics and performance indicators for the various ports are tabled below:</w:t>
      </w:r>
      <w:r>
        <w:t xml:space="preserve"> </w:t>
      </w:r>
    </w:p>
    <w:p w:rsidR="009A1986" w:rsidRDefault="009A1986" w:rsidP="009A1986">
      <w:pPr>
        <w:pStyle w:val="Caption"/>
        <w:framePr w:hSpace="180" w:wrap="around" w:vAnchor="text" w:hAnchor="page" w:x="2416" w:y="6604"/>
      </w:pPr>
      <w:bookmarkStart w:id="267" w:name="_Toc366769133"/>
      <w:r>
        <w:t xml:space="preserve">Table </w:t>
      </w:r>
      <w:r w:rsidR="00CA7023">
        <w:fldChar w:fldCharType="begin"/>
      </w:r>
      <w:r>
        <w:instrText xml:space="preserve"> SEQ Table \* ARABIC </w:instrText>
      </w:r>
      <w:r w:rsidR="00CA7023">
        <w:fldChar w:fldCharType="separate"/>
      </w:r>
      <w:r w:rsidR="00FF5EB2">
        <w:rPr>
          <w:noProof/>
        </w:rPr>
        <w:t>16</w:t>
      </w:r>
      <w:r w:rsidR="00CA7023">
        <w:fldChar w:fldCharType="end"/>
      </w:r>
      <w:r>
        <w:t xml:space="preserve">: </w:t>
      </w:r>
      <w:r w:rsidRPr="00146703">
        <w:t xml:space="preserve">Characteristics and Performance Indicators </w:t>
      </w:r>
      <w:r w:rsidR="00542217">
        <w:t>o</w:t>
      </w:r>
      <w:r w:rsidRPr="00146703">
        <w:t>f Burnie And Devonport Ports</w:t>
      </w:r>
      <w:bookmarkEnd w:id="267"/>
    </w:p>
    <w:p w:rsidR="001D1810" w:rsidRDefault="001D1810" w:rsidP="001D1810">
      <w:pPr>
        <w:spacing w:after="200"/>
        <w:jc w:val="left"/>
      </w:pPr>
      <w:r>
        <w:br w:type="page"/>
      </w:r>
    </w:p>
    <w:tbl>
      <w:tblPr>
        <w:tblStyle w:val="Style3"/>
        <w:tblW w:w="9322" w:type="dxa"/>
        <w:tblBorders>
          <w:left w:val="none" w:sz="0" w:space="0" w:color="auto"/>
          <w:right w:val="none" w:sz="0" w:space="0" w:color="auto"/>
          <w:insideV w:val="none" w:sz="0" w:space="0" w:color="auto"/>
        </w:tblBorders>
        <w:tblLook w:val="0400" w:firstRow="0" w:lastRow="0" w:firstColumn="0" w:lastColumn="0" w:noHBand="0" w:noVBand="1"/>
      </w:tblPr>
      <w:tblGrid>
        <w:gridCol w:w="1895"/>
        <w:gridCol w:w="7427"/>
      </w:tblGrid>
      <w:tr w:rsidR="001D1810" w:rsidRPr="00D75FE8" w:rsidTr="0057495B">
        <w:trPr>
          <w:cnfStyle w:val="000000010000" w:firstRow="0" w:lastRow="0" w:firstColumn="0" w:lastColumn="0" w:oddVBand="0" w:evenVBand="0" w:oddHBand="0" w:evenHBand="1" w:firstRowFirstColumn="0" w:firstRowLastColumn="0" w:lastRowFirstColumn="0" w:lastRowLastColumn="0"/>
          <w:trHeight w:val="565"/>
          <w:tblHeader/>
        </w:trPr>
        <w:tc>
          <w:tcPr>
            <w:tcW w:w="1895" w:type="dxa"/>
            <w:shd w:val="clear" w:color="auto" w:fill="EFF0EF" w:themeFill="accent4"/>
            <w:vAlign w:val="center"/>
          </w:tcPr>
          <w:p w:rsidR="001D1810" w:rsidRPr="00F91EAD" w:rsidRDefault="001D1810" w:rsidP="0057495B">
            <w:pPr>
              <w:pStyle w:val="ListParagraph"/>
              <w:spacing w:before="0" w:after="0"/>
              <w:ind w:left="0" w:right="-62"/>
              <w:jc w:val="center"/>
              <w:rPr>
                <w:b/>
              </w:rPr>
            </w:pPr>
            <w:r w:rsidRPr="00F91EAD">
              <w:rPr>
                <w:b/>
              </w:rPr>
              <w:t>Observation</w:t>
            </w:r>
          </w:p>
        </w:tc>
        <w:tc>
          <w:tcPr>
            <w:tcW w:w="7427" w:type="dxa"/>
            <w:shd w:val="clear" w:color="auto" w:fill="auto"/>
            <w:vAlign w:val="center"/>
          </w:tcPr>
          <w:p w:rsidR="001D1810" w:rsidRPr="00F91EAD" w:rsidRDefault="001D1810" w:rsidP="0057495B">
            <w:pPr>
              <w:spacing w:before="0" w:after="0"/>
              <w:ind w:right="-62"/>
              <w:jc w:val="center"/>
              <w:rPr>
                <w:b/>
              </w:rPr>
            </w:pPr>
            <w:r w:rsidRPr="00F91EAD">
              <w:rPr>
                <w:b/>
              </w:rPr>
              <w:t>Comment</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blHeader/>
        </w:trPr>
        <w:tc>
          <w:tcPr>
            <w:tcW w:w="1895" w:type="dxa"/>
            <w:shd w:val="clear" w:color="auto" w:fill="EFF0EF" w:themeFill="accent4"/>
          </w:tcPr>
          <w:p w:rsidR="001D1810" w:rsidRPr="002D10F9" w:rsidRDefault="001D1810" w:rsidP="0057495B">
            <w:pPr>
              <w:pStyle w:val="Tables"/>
              <w:jc w:val="left"/>
              <w:rPr>
                <w:b/>
              </w:rPr>
            </w:pPr>
            <w:r w:rsidRPr="002D10F9">
              <w:rPr>
                <w:b/>
              </w:rPr>
              <w:t>Analysis</w:t>
            </w:r>
          </w:p>
        </w:tc>
        <w:tc>
          <w:tcPr>
            <w:tcW w:w="7427" w:type="dxa"/>
            <w:shd w:val="clear" w:color="auto" w:fill="auto"/>
          </w:tcPr>
          <w:p w:rsidR="001D1810" w:rsidRDefault="001D1810" w:rsidP="00465C60">
            <w:pPr>
              <w:pStyle w:val="Bullet1"/>
              <w:numPr>
                <w:ilvl w:val="0"/>
                <w:numId w:val="0"/>
              </w:numPr>
              <w:rPr>
                <w:rFonts w:eastAsiaTheme="majorEastAsia"/>
                <w:b/>
                <w:bCs/>
                <w:color w:val="7AB800" w:themeColor="accent1"/>
              </w:rPr>
            </w:pPr>
            <w:r>
              <w:t>T</w:t>
            </w:r>
            <w:r w:rsidRPr="00791915">
              <w:t xml:space="preserve">hroughput at the Port of Burnie is 240,000 </w:t>
            </w:r>
            <w:r>
              <w:t>TEU</w:t>
            </w:r>
            <w:r w:rsidRPr="00791915">
              <w:t xml:space="preserve"> per year, it is assumed that a single </w:t>
            </w:r>
            <w:r w:rsidR="00AF6026">
              <w:t>RORO</w:t>
            </w:r>
            <w:r w:rsidRPr="00791915">
              <w:t xml:space="preserve"> vessel transports around 120,000 </w:t>
            </w:r>
            <w:r>
              <w:t>TEU</w:t>
            </w:r>
            <w:r w:rsidRPr="00791915">
              <w:t xml:space="preserve"> per year. The vessel operates from the port 6 days per week or 306 times a year allowing 1 week for annual maintenance. </w:t>
            </w:r>
          </w:p>
          <w:p w:rsidR="001D1810" w:rsidRDefault="001D1810" w:rsidP="00465C60">
            <w:pPr>
              <w:pStyle w:val="Bullet1"/>
              <w:numPr>
                <w:ilvl w:val="0"/>
                <w:numId w:val="0"/>
              </w:numPr>
              <w:rPr>
                <w:rFonts w:eastAsiaTheme="majorEastAsia"/>
                <w:b/>
                <w:bCs/>
                <w:color w:val="7AB800" w:themeColor="accent1"/>
              </w:rPr>
            </w:pPr>
            <w:r w:rsidRPr="00791915">
              <w:t xml:space="preserve">This equates to 390 </w:t>
            </w:r>
            <w:r>
              <w:t>TEU</w:t>
            </w:r>
            <w:r w:rsidRPr="00791915">
              <w:t>’s per vessel per day. Assuming 20ft (1</w:t>
            </w:r>
            <w:r>
              <w:t>TEU</w:t>
            </w:r>
            <w:r w:rsidRPr="00791915">
              <w:t>) and 40ft (2</w:t>
            </w:r>
            <w:r>
              <w:t>TEU</w:t>
            </w:r>
            <w:r w:rsidRPr="00791915">
              <w:t>) containers are apportioned 50/50 on-board, this translates to 260 moves (lifts) per vessel or 65 moves per hour given a vessel takes around 4 hours to load</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blHeader/>
        </w:trPr>
        <w:tc>
          <w:tcPr>
            <w:tcW w:w="1895" w:type="dxa"/>
            <w:shd w:val="clear" w:color="auto" w:fill="EFF0EF" w:themeFill="accent4"/>
          </w:tcPr>
          <w:p w:rsidR="001D1810" w:rsidRPr="002D10F9" w:rsidRDefault="001D1810" w:rsidP="0057495B">
            <w:pPr>
              <w:pStyle w:val="Tables"/>
              <w:jc w:val="left"/>
              <w:rPr>
                <w:b/>
              </w:rPr>
            </w:pPr>
            <w:r w:rsidRPr="002D10F9">
              <w:rPr>
                <w:b/>
              </w:rPr>
              <w:t>TEU per m</w:t>
            </w:r>
            <w:r>
              <w:rPr>
                <w:b/>
              </w:rPr>
              <w:t>etre</w:t>
            </w:r>
            <w:r w:rsidRPr="002D10F9">
              <w:rPr>
                <w:b/>
              </w:rPr>
              <w:t xml:space="preserve"> of wharf</w:t>
            </w:r>
          </w:p>
        </w:tc>
        <w:tc>
          <w:tcPr>
            <w:tcW w:w="7427" w:type="dxa"/>
            <w:shd w:val="clear" w:color="auto" w:fill="auto"/>
          </w:tcPr>
          <w:p w:rsidR="001D1810" w:rsidRDefault="001D1810" w:rsidP="00465C60">
            <w:pPr>
              <w:pStyle w:val="Bullet1"/>
              <w:numPr>
                <w:ilvl w:val="0"/>
                <w:numId w:val="0"/>
              </w:numPr>
              <w:rPr>
                <w:rFonts w:eastAsiaTheme="majorEastAsia"/>
                <w:b/>
                <w:bCs/>
                <w:color w:val="7AB800" w:themeColor="accent1"/>
              </w:rPr>
            </w:pPr>
            <w:r>
              <w:t xml:space="preserve">The performance for the </w:t>
            </w:r>
            <w:r w:rsidR="00AF6026">
              <w:t>RORO</w:t>
            </w:r>
            <w:r>
              <w:t xml:space="preserve"> service of Toll-ANL and TT-Line compare favourably with those expected at a modern container terminal, including the </w:t>
            </w:r>
            <w:r w:rsidR="007D59CC">
              <w:t>PoM</w:t>
            </w:r>
            <w:r>
              <w:t xml:space="preserve">, Australia’s most productive container port.  </w:t>
            </w:r>
          </w:p>
          <w:p w:rsidR="001D1810" w:rsidRDefault="001D1810" w:rsidP="00465C60">
            <w:pPr>
              <w:pStyle w:val="Bullet1"/>
              <w:numPr>
                <w:ilvl w:val="0"/>
                <w:numId w:val="0"/>
              </w:numPr>
              <w:rPr>
                <w:rFonts w:eastAsiaTheme="majorEastAsia"/>
                <w:b/>
                <w:bCs/>
                <w:color w:val="7AB800" w:themeColor="accent1"/>
              </w:rPr>
            </w:pPr>
            <w:r>
              <w:t xml:space="preserve">Using the indicator of TEU per metre of wharf could be argued to be inappropriate for measuring performance of </w:t>
            </w:r>
            <w:r w:rsidR="00AF6026">
              <w:t>RORO</w:t>
            </w:r>
            <w:r>
              <w:t xml:space="preserve"> operations. In particular when Toll-ANL and SeaRoad Shipping load and unload freight from the stern ramp of their vessels. However, it does highlight that compared to vessel to shore operation at container ports, </w:t>
            </w:r>
            <w:r w:rsidR="00AF6026">
              <w:t>RORO</w:t>
            </w:r>
            <w:r>
              <w:t xml:space="preserve"> operations require considerably less length of continuous berth which is particularly cost effective when combined with the use of stand-alone moorings (Dolphins).</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blHeader/>
        </w:trPr>
        <w:tc>
          <w:tcPr>
            <w:tcW w:w="1895" w:type="dxa"/>
            <w:shd w:val="clear" w:color="auto" w:fill="EFF0EF" w:themeFill="accent4"/>
          </w:tcPr>
          <w:p w:rsidR="001D1810" w:rsidRPr="002D10F9" w:rsidRDefault="001D1810" w:rsidP="0057495B">
            <w:pPr>
              <w:pStyle w:val="Tables"/>
              <w:jc w:val="left"/>
              <w:rPr>
                <w:b/>
              </w:rPr>
            </w:pPr>
            <w:r>
              <w:rPr>
                <w:b/>
              </w:rPr>
              <w:t>C</w:t>
            </w:r>
            <w:r w:rsidRPr="002D10F9">
              <w:rPr>
                <w:b/>
              </w:rPr>
              <w:t>rane lifts per hour</w:t>
            </w:r>
          </w:p>
        </w:tc>
        <w:tc>
          <w:tcPr>
            <w:tcW w:w="7427" w:type="dxa"/>
            <w:shd w:val="clear" w:color="auto" w:fill="auto"/>
          </w:tcPr>
          <w:p w:rsidR="001D1810" w:rsidRDefault="001D1810" w:rsidP="00465C60">
            <w:pPr>
              <w:pStyle w:val="Bullet1"/>
              <w:numPr>
                <w:ilvl w:val="0"/>
                <w:numId w:val="0"/>
              </w:numPr>
              <w:rPr>
                <w:rFonts w:eastAsiaTheme="majorEastAsia"/>
                <w:b/>
                <w:bCs/>
                <w:color w:val="7AB800" w:themeColor="accent1"/>
              </w:rPr>
            </w:pPr>
            <w:r>
              <w:t xml:space="preserve">Another measure of performance of a container terminal is crane lifts per hour whilst loading and unloading a container vessel. In 2012, the </w:t>
            </w:r>
            <w:r w:rsidR="007D59CC">
              <w:t xml:space="preserve">PoM </w:t>
            </w:r>
            <w:r>
              <w:t xml:space="preserve">international container terminal performed at an average of 52 lifts per hour which is high compared to others such as 35 lifts per hour at the Port of Botany, Sydney. These figures are taken from the Bureau of Infrastructure, Transport and Regional Economics, Statistical report, Waterline 51. </w:t>
            </w:r>
          </w:p>
          <w:p w:rsidR="001D1810" w:rsidRDefault="001D1810" w:rsidP="00465C60">
            <w:pPr>
              <w:pStyle w:val="Bullet1"/>
              <w:numPr>
                <w:ilvl w:val="0"/>
                <w:numId w:val="0"/>
              </w:numPr>
              <w:rPr>
                <w:rFonts w:eastAsiaTheme="majorEastAsia"/>
                <w:b/>
                <w:bCs/>
                <w:color w:val="7AB800" w:themeColor="accent1"/>
              </w:rPr>
            </w:pPr>
            <w:r>
              <w:t xml:space="preserve">Loosely correlated, this indicator is compared against the average moves per hour for Toll-ANL to load a </w:t>
            </w:r>
            <w:r w:rsidR="00AF6026">
              <w:t>RORO</w:t>
            </w:r>
            <w:r>
              <w:t xml:space="preserve"> vessel. </w:t>
            </w:r>
          </w:p>
          <w:p w:rsidR="001D1810" w:rsidRDefault="001D1810" w:rsidP="00465C60">
            <w:pPr>
              <w:pStyle w:val="Bullet1"/>
              <w:numPr>
                <w:ilvl w:val="0"/>
                <w:numId w:val="0"/>
              </w:numPr>
              <w:rPr>
                <w:rFonts w:eastAsiaTheme="majorEastAsia"/>
                <w:b/>
                <w:bCs/>
                <w:color w:val="7AB800" w:themeColor="accent1"/>
              </w:rPr>
            </w:pPr>
            <w:r w:rsidRPr="00E5129D">
              <w:t>65 moves per hour</w:t>
            </w:r>
            <w:r>
              <w:t xml:space="preserve"> compares favourably with the Port of Melbourne’s average of 52 lifts per hour. </w:t>
            </w:r>
          </w:p>
          <w:p w:rsidR="001D1810" w:rsidRDefault="001D1810" w:rsidP="00465C60">
            <w:pPr>
              <w:pStyle w:val="Bullet1"/>
              <w:numPr>
                <w:ilvl w:val="0"/>
                <w:numId w:val="0"/>
              </w:numPr>
              <w:rPr>
                <w:rFonts w:eastAsiaTheme="majorEastAsia"/>
                <w:b/>
                <w:bCs/>
                <w:color w:val="7AB800" w:themeColor="accent1"/>
              </w:rPr>
            </w:pPr>
            <w:r>
              <w:t>From the performance table SeaRoad Shipping’s performance is less efficient compared to that of Toll-ANL and TT-Line. However, performance can be influenced by many factors including the type and proportion of freight. For example, TT-Line handles wheeled TEU’s almost exclusively in the form of taut-liner trailers and containers on wheeled chassis. Goods on TT-Line tend to be time-sensitive and as such, are driven almost immediately from the terminal to market or stored for only a few hours. The time that containers are stored in the yard (dwell time) makes a tremendous difference to the through-put of the yard. Modern container terminals strive to reduce dwell time to 5 days or less. Reduction of dwell time by even 1 day can result in significant increases in throughput.</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blHeader/>
        </w:trPr>
        <w:tc>
          <w:tcPr>
            <w:tcW w:w="1895" w:type="dxa"/>
            <w:shd w:val="clear" w:color="auto" w:fill="EFF0EF" w:themeFill="accent4"/>
          </w:tcPr>
          <w:p w:rsidR="001D1810" w:rsidRPr="002D10F9" w:rsidRDefault="001D1810" w:rsidP="0057495B">
            <w:pPr>
              <w:pStyle w:val="Tables"/>
              <w:jc w:val="left"/>
              <w:rPr>
                <w:b/>
              </w:rPr>
            </w:pPr>
            <w:r w:rsidRPr="002D10F9">
              <w:rPr>
                <w:b/>
              </w:rPr>
              <w:t xml:space="preserve">Dwell </w:t>
            </w:r>
            <w:r w:rsidR="00542217">
              <w:rPr>
                <w:b/>
              </w:rPr>
              <w:t>T</w:t>
            </w:r>
            <w:r w:rsidRPr="002D10F9">
              <w:rPr>
                <w:b/>
              </w:rPr>
              <w:t>imes</w:t>
            </w:r>
          </w:p>
        </w:tc>
        <w:tc>
          <w:tcPr>
            <w:tcW w:w="7427" w:type="dxa"/>
            <w:shd w:val="clear" w:color="auto" w:fill="auto"/>
          </w:tcPr>
          <w:p w:rsidR="001D1810" w:rsidRDefault="001D1810" w:rsidP="00465C60">
            <w:pPr>
              <w:pStyle w:val="Bullet1"/>
              <w:numPr>
                <w:ilvl w:val="0"/>
                <w:numId w:val="0"/>
              </w:numPr>
              <w:rPr>
                <w:rFonts w:eastAsiaTheme="majorEastAsia"/>
                <w:b/>
                <w:bCs/>
                <w:color w:val="7AB800" w:themeColor="accent1"/>
              </w:rPr>
            </w:pPr>
            <w:r w:rsidRPr="00791915">
              <w:t>A</w:t>
            </w:r>
            <w:r>
              <w:t xml:space="preserve">pproximately 35% </w:t>
            </w:r>
            <w:r w:rsidRPr="00791915">
              <w:t xml:space="preserve">of overall </w:t>
            </w:r>
            <w:r>
              <w:t>TEU</w:t>
            </w:r>
            <w:r w:rsidRPr="00791915">
              <w:t xml:space="preserve"> throughput in Tasmania are transported as trailers or wheeled chassis. International containers contribute only 1</w:t>
            </w:r>
            <w:r>
              <w:t>1%</w:t>
            </w:r>
            <w:r w:rsidRPr="00791915">
              <w:t xml:space="preserve"> of the overall </w:t>
            </w:r>
            <w:r>
              <w:t>TEU</w:t>
            </w:r>
            <w:r w:rsidRPr="00791915">
              <w:t xml:space="preserve"> throughput and impose the </w:t>
            </w:r>
            <w:r>
              <w:t>longest dwell times of 3 to 6 da</w:t>
            </w:r>
            <w:r w:rsidRPr="00791915">
              <w:t xml:space="preserve">ys. Therefore, other than a relatively small proportion, Tasmania’s ports enjoy dwell times of less than 1 day which contributes enormously to the high productivity and turnover of </w:t>
            </w:r>
            <w:r>
              <w:t>TEU</w:t>
            </w:r>
            <w:r w:rsidRPr="00791915">
              <w:t>’s through the yard</w:t>
            </w:r>
            <w:r>
              <w:t>.</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blHeader/>
        </w:trPr>
        <w:tc>
          <w:tcPr>
            <w:tcW w:w="1895" w:type="dxa"/>
            <w:shd w:val="clear" w:color="auto" w:fill="EFF0EF" w:themeFill="accent4"/>
          </w:tcPr>
          <w:p w:rsidR="001D1810" w:rsidRPr="002D10F9" w:rsidRDefault="001D1810" w:rsidP="0057495B">
            <w:pPr>
              <w:pStyle w:val="Tables"/>
              <w:jc w:val="left"/>
              <w:rPr>
                <w:b/>
              </w:rPr>
            </w:pPr>
            <w:r w:rsidRPr="002D10F9">
              <w:rPr>
                <w:b/>
              </w:rPr>
              <w:t>Summary</w:t>
            </w:r>
          </w:p>
        </w:tc>
        <w:tc>
          <w:tcPr>
            <w:tcW w:w="7427" w:type="dxa"/>
            <w:shd w:val="clear" w:color="auto" w:fill="auto"/>
          </w:tcPr>
          <w:p w:rsidR="001D1810" w:rsidRPr="00791915" w:rsidRDefault="001D1810" w:rsidP="00465C60">
            <w:pPr>
              <w:pStyle w:val="Bullet1"/>
              <w:numPr>
                <w:ilvl w:val="0"/>
                <w:numId w:val="0"/>
              </w:numPr>
              <w:rPr>
                <w:rFonts w:eastAsiaTheme="majorEastAsia"/>
                <w:b/>
                <w:bCs/>
                <w:color w:val="7AB800" w:themeColor="accent1"/>
              </w:rPr>
            </w:pPr>
            <w:r w:rsidRPr="0081708E">
              <w:t xml:space="preserve">Overall, the </w:t>
            </w:r>
            <w:r w:rsidR="00AF6026">
              <w:t>RORO</w:t>
            </w:r>
            <w:r w:rsidRPr="0081708E">
              <w:t xml:space="preserve"> operation servicing Tasmania is productive and performing efficiently despite yard constraints and other challenges described elsewhere.      </w:t>
            </w:r>
          </w:p>
        </w:tc>
      </w:tr>
    </w:tbl>
    <w:p w:rsidR="001D1810" w:rsidRDefault="001D1810" w:rsidP="0040197A">
      <w:pPr>
        <w:pStyle w:val="Heading2"/>
      </w:pPr>
      <w:bookmarkStart w:id="268" w:name="_Toc355588582"/>
      <w:bookmarkStart w:id="269" w:name="_Toc357761437"/>
      <w:bookmarkStart w:id="270" w:name="_Toc358228809"/>
      <w:bookmarkStart w:id="271" w:name="_Toc358361308"/>
      <w:bookmarkStart w:id="272" w:name="_Toc364154099"/>
      <w:bookmarkStart w:id="273" w:name="_Toc367700245"/>
      <w:r w:rsidRPr="006C4E82">
        <w:t>Port Expansion</w:t>
      </w:r>
      <w:bookmarkEnd w:id="268"/>
      <w:bookmarkEnd w:id="269"/>
      <w:bookmarkEnd w:id="270"/>
      <w:bookmarkEnd w:id="271"/>
      <w:bookmarkEnd w:id="272"/>
      <w:bookmarkEnd w:id="273"/>
      <w:r w:rsidRPr="006C4E82">
        <w:t xml:space="preserve"> </w:t>
      </w:r>
    </w:p>
    <w:p w:rsidR="001D1810" w:rsidRDefault="001D1810" w:rsidP="001D1810">
      <w:r>
        <w:t xml:space="preserve">This section of the report considers the existing operation and capacity of Tasmania’s northern ports and based on the </w:t>
      </w:r>
      <w:r w:rsidR="007D59CC">
        <w:t>PoM</w:t>
      </w:r>
      <w:r>
        <w:t>’s growth forecasts, future port capacity requirements.</w:t>
      </w:r>
    </w:p>
    <w:p w:rsidR="001D1810" w:rsidRDefault="001D1810" w:rsidP="00EF4C68">
      <w:pPr>
        <w:pStyle w:val="Heading3"/>
      </w:pPr>
      <w:bookmarkStart w:id="274" w:name="_Toc357761438"/>
      <w:bookmarkStart w:id="275" w:name="_Toc367700246"/>
      <w:r>
        <w:t>Port of Melbourne</w:t>
      </w:r>
      <w:bookmarkEnd w:id="274"/>
      <w:bookmarkEnd w:id="275"/>
    </w:p>
    <w:p w:rsidR="001D1810" w:rsidRPr="00791915" w:rsidRDefault="001D1810" w:rsidP="001D1810">
      <w:r w:rsidRPr="00791915">
        <w:t>The Port of Melbourne Corporation (</w:t>
      </w:r>
      <w:r>
        <w:t>PoMC</w:t>
      </w:r>
      <w:r w:rsidRPr="00791915">
        <w:t xml:space="preserve">) latest Port Development Strategy (PDS) 2035 Vision (August 2009) forecasts that Tasmanian container throughput will reach 793,000 </w:t>
      </w:r>
      <w:r>
        <w:t>TEU</w:t>
      </w:r>
      <w:r w:rsidRPr="00791915">
        <w:t xml:space="preserve"> (4% CAGR) and 1,150,000 (3.8% CAGR) by 2025 and 2035 respectively. Section 7 of the PDS, describes its “Future Berth and Land Needs” for its Webb dock Bass Strait </w:t>
      </w:r>
      <w:r w:rsidR="00AF6026">
        <w:t>RORO</w:t>
      </w:r>
      <w:r w:rsidRPr="00791915">
        <w:t xml:space="preserve"> terminals as follows:  </w:t>
      </w:r>
    </w:p>
    <w:tbl>
      <w:tblPr>
        <w:tblStyle w:val="Style1"/>
        <w:tblW w:w="0" w:type="auto"/>
        <w:tblLook w:val="04A0" w:firstRow="1" w:lastRow="0" w:firstColumn="1" w:lastColumn="0" w:noHBand="0" w:noVBand="1"/>
      </w:tblPr>
      <w:tblGrid>
        <w:gridCol w:w="2375"/>
        <w:gridCol w:w="2978"/>
        <w:gridCol w:w="3827"/>
      </w:tblGrid>
      <w:tr w:rsidR="001D1810" w:rsidRPr="006C4E82" w:rsidTr="0057495B">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375" w:type="dxa"/>
          </w:tcPr>
          <w:p w:rsidR="001D1810" w:rsidRPr="00FE1136" w:rsidRDefault="001D1810" w:rsidP="0057495B">
            <w:pPr>
              <w:spacing w:before="144" w:after="144"/>
              <w:jc w:val="center"/>
              <w:rPr>
                <w:rFonts w:asciiTheme="minorHAnsi" w:hAnsiTheme="minorHAnsi" w:cstheme="minorHAnsi"/>
                <w:sz w:val="22"/>
                <w:szCs w:val="22"/>
              </w:rPr>
            </w:pPr>
            <w:r w:rsidRPr="00FE1136">
              <w:rPr>
                <w:rFonts w:asciiTheme="minorHAnsi" w:hAnsiTheme="minorHAnsi" w:cstheme="minorHAnsi"/>
                <w:sz w:val="22"/>
                <w:szCs w:val="22"/>
              </w:rPr>
              <w:t>Year</w:t>
            </w:r>
          </w:p>
        </w:tc>
        <w:tc>
          <w:tcPr>
            <w:tcW w:w="2978" w:type="dxa"/>
          </w:tcPr>
          <w:p w:rsidR="001D1810" w:rsidRPr="00FE1136" w:rsidRDefault="001D1810" w:rsidP="0057495B">
            <w:pPr>
              <w:spacing w:before="144"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E1136">
              <w:rPr>
                <w:rFonts w:asciiTheme="minorHAnsi" w:hAnsiTheme="minorHAnsi" w:cstheme="minorHAnsi"/>
                <w:sz w:val="22"/>
                <w:szCs w:val="22"/>
              </w:rPr>
              <w:t>Berths</w:t>
            </w:r>
          </w:p>
        </w:tc>
        <w:tc>
          <w:tcPr>
            <w:tcW w:w="3827" w:type="dxa"/>
          </w:tcPr>
          <w:p w:rsidR="001D1810" w:rsidRPr="00FE1136" w:rsidRDefault="001D1810" w:rsidP="0057495B">
            <w:pPr>
              <w:spacing w:before="144"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E1136">
              <w:rPr>
                <w:rFonts w:asciiTheme="minorHAnsi" w:hAnsiTheme="minorHAnsi" w:cstheme="minorHAnsi"/>
                <w:sz w:val="22"/>
                <w:szCs w:val="22"/>
              </w:rPr>
              <w:t>Terminal Area (Ha)</w:t>
            </w:r>
          </w:p>
        </w:tc>
      </w:tr>
      <w:tr w:rsidR="001D1810" w:rsidRPr="006C4E82" w:rsidTr="0057495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375" w:type="dxa"/>
          </w:tcPr>
          <w:p w:rsidR="001D1810" w:rsidRPr="006C4E82" w:rsidRDefault="001D1810" w:rsidP="0057495B">
            <w:pPr>
              <w:pStyle w:val="Tables"/>
              <w:jc w:val="left"/>
            </w:pPr>
            <w:r w:rsidRPr="006C4E82">
              <w:t>Existing</w:t>
            </w:r>
          </w:p>
        </w:tc>
        <w:tc>
          <w:tcPr>
            <w:tcW w:w="2978" w:type="dxa"/>
          </w:tcPr>
          <w:p w:rsidR="001D1810" w:rsidRPr="006C4E8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r w:rsidRPr="006C4E82">
              <w:t>2</w:t>
            </w:r>
          </w:p>
        </w:tc>
        <w:tc>
          <w:tcPr>
            <w:tcW w:w="3827" w:type="dxa"/>
          </w:tcPr>
          <w:p w:rsidR="001D1810" w:rsidRPr="006C4E8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r w:rsidRPr="006C4E82">
              <w:t>14</w:t>
            </w:r>
          </w:p>
        </w:tc>
      </w:tr>
      <w:tr w:rsidR="001D1810" w:rsidRPr="006C4E82" w:rsidTr="0057495B">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375" w:type="dxa"/>
          </w:tcPr>
          <w:p w:rsidR="001D1810" w:rsidRPr="006C4E82" w:rsidRDefault="001D1810" w:rsidP="0057495B">
            <w:pPr>
              <w:pStyle w:val="Tables"/>
              <w:jc w:val="left"/>
            </w:pPr>
            <w:r w:rsidRPr="006C4E82">
              <w:t>2025</w:t>
            </w:r>
          </w:p>
        </w:tc>
        <w:tc>
          <w:tcPr>
            <w:tcW w:w="2978" w:type="dxa"/>
          </w:tcPr>
          <w:p w:rsidR="001D1810" w:rsidRPr="006C4E8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r w:rsidRPr="006C4E82">
              <w:t>4</w:t>
            </w:r>
          </w:p>
        </w:tc>
        <w:tc>
          <w:tcPr>
            <w:tcW w:w="3827" w:type="dxa"/>
          </w:tcPr>
          <w:p w:rsidR="001D1810" w:rsidRPr="006C4E8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r w:rsidRPr="006C4E82">
              <w:t>20</w:t>
            </w:r>
          </w:p>
        </w:tc>
      </w:tr>
      <w:tr w:rsidR="001D1810" w:rsidRPr="006C4E82" w:rsidTr="0057495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375" w:type="dxa"/>
          </w:tcPr>
          <w:p w:rsidR="001D1810" w:rsidRPr="006C4E82" w:rsidRDefault="001D1810" w:rsidP="0057495B">
            <w:pPr>
              <w:pStyle w:val="Tables"/>
              <w:jc w:val="left"/>
            </w:pPr>
            <w:r w:rsidRPr="006C4E82">
              <w:t>2035</w:t>
            </w:r>
          </w:p>
        </w:tc>
        <w:tc>
          <w:tcPr>
            <w:tcW w:w="2978" w:type="dxa"/>
          </w:tcPr>
          <w:p w:rsidR="001D1810" w:rsidRPr="006C4E8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r w:rsidRPr="006C4E82">
              <w:t>5</w:t>
            </w:r>
          </w:p>
        </w:tc>
        <w:tc>
          <w:tcPr>
            <w:tcW w:w="3827" w:type="dxa"/>
          </w:tcPr>
          <w:p w:rsidR="001D1810" w:rsidRPr="006C4E82" w:rsidRDefault="001D1810" w:rsidP="0057495B">
            <w:pPr>
              <w:pStyle w:val="Tables"/>
              <w:keepNext/>
              <w:jc w:val="center"/>
              <w:cnfStyle w:val="000000100000" w:firstRow="0" w:lastRow="0" w:firstColumn="0" w:lastColumn="0" w:oddVBand="0" w:evenVBand="0" w:oddHBand="1" w:evenHBand="0" w:firstRowFirstColumn="0" w:firstRowLastColumn="0" w:lastRowFirstColumn="0" w:lastRowLastColumn="0"/>
            </w:pPr>
            <w:r w:rsidRPr="006C4E82">
              <w:t>30</w:t>
            </w:r>
          </w:p>
        </w:tc>
      </w:tr>
    </w:tbl>
    <w:p w:rsidR="001D1810" w:rsidRDefault="001D1810" w:rsidP="001D1810">
      <w:pPr>
        <w:pStyle w:val="Caption"/>
      </w:pPr>
      <w:bookmarkStart w:id="276" w:name="_Toc364161827"/>
      <w:bookmarkStart w:id="277" w:name="_Toc366769134"/>
      <w:r>
        <w:t xml:space="preserve">Table </w:t>
      </w:r>
      <w:r w:rsidR="00CA7023">
        <w:fldChar w:fldCharType="begin"/>
      </w:r>
      <w:r w:rsidR="009A1986">
        <w:instrText xml:space="preserve"> SEQ Table \* ARABIC </w:instrText>
      </w:r>
      <w:r w:rsidR="00CA7023">
        <w:fldChar w:fldCharType="separate"/>
      </w:r>
      <w:r w:rsidR="00FF5EB2">
        <w:rPr>
          <w:noProof/>
        </w:rPr>
        <w:t>17</w:t>
      </w:r>
      <w:r w:rsidR="00CA7023">
        <w:fldChar w:fldCharType="end"/>
      </w:r>
      <w:r>
        <w:t>: Port of Melbourne Future Expansion</w:t>
      </w:r>
      <w:bookmarkEnd w:id="276"/>
      <w:bookmarkEnd w:id="277"/>
    </w:p>
    <w:p w:rsidR="001D1810" w:rsidRDefault="001D1810" w:rsidP="001D1810"/>
    <w:p w:rsidR="001D1810" w:rsidRPr="00791915" w:rsidRDefault="001D1810" w:rsidP="001D1810">
      <w:r w:rsidRPr="00791915">
        <w:t>The existing, adjoining terminals at Webb dock are operated by Sea</w:t>
      </w:r>
      <w:r>
        <w:t>R</w:t>
      </w:r>
      <w:r w:rsidRPr="00791915">
        <w:t xml:space="preserve">oad </w:t>
      </w:r>
      <w:r>
        <w:t xml:space="preserve">Shipping </w:t>
      </w:r>
      <w:r w:rsidRPr="00791915">
        <w:t xml:space="preserve">and Toll-ANL, each with a single berth and yard measuring around 7 hectares. </w:t>
      </w:r>
    </w:p>
    <w:p w:rsidR="001D1810" w:rsidRPr="00791915" w:rsidRDefault="001D1810" w:rsidP="001D1810">
      <w:r>
        <w:t xml:space="preserve">We believe </w:t>
      </w:r>
      <w:r w:rsidRPr="00791915">
        <w:t xml:space="preserve">Toll-ANL is operating its </w:t>
      </w:r>
      <w:r w:rsidR="00AF6026">
        <w:t>RORO</w:t>
      </w:r>
      <w:r w:rsidRPr="00791915">
        <w:t xml:space="preserve"> terminal, near capacity at the Port of Burnie, handling 240,000 </w:t>
      </w:r>
      <w:r>
        <w:t>TEU</w:t>
      </w:r>
      <w:r w:rsidRPr="00791915">
        <w:t xml:space="preserve"> per year in a storage area of around 6 hectares using 2 </w:t>
      </w:r>
      <w:r>
        <w:t>vessel</w:t>
      </w:r>
      <w:r w:rsidRPr="00791915">
        <w:t xml:space="preserve">s and a single berth and wharf, 180 metres in length. Therefore, theoretically, </w:t>
      </w:r>
      <w:r w:rsidR="00AF6026">
        <w:t>RORO</w:t>
      </w:r>
      <w:r w:rsidRPr="00791915">
        <w:t xml:space="preserve"> operations in Tasmania should be capable of achieving 40,000 </w:t>
      </w:r>
      <w:r>
        <w:t>TEU</w:t>
      </w:r>
      <w:r w:rsidRPr="00791915">
        <w:t>’s per hectare per year using a single berth.</w:t>
      </w:r>
    </w:p>
    <w:p w:rsidR="001D1810" w:rsidRDefault="001D1810" w:rsidP="001D1810">
      <w:r w:rsidRPr="00791915">
        <w:t xml:space="preserve">Based on these parameters and </w:t>
      </w:r>
      <w:r>
        <w:t>PoMC</w:t>
      </w:r>
      <w:r w:rsidRPr="00791915">
        <w:t xml:space="preserve">’s forecasts and assuming larger </w:t>
      </w:r>
      <w:r w:rsidR="00AF6026">
        <w:t>RORO</w:t>
      </w:r>
      <w:r w:rsidRPr="00791915">
        <w:t xml:space="preserve"> </w:t>
      </w:r>
      <w:r>
        <w:t>vessel</w:t>
      </w:r>
      <w:r w:rsidRPr="00791915">
        <w:t xml:space="preserve">s are used in future, berth and land needs in Tasmania could be forecast as follows:    </w:t>
      </w:r>
    </w:p>
    <w:p w:rsidR="00747377" w:rsidRDefault="00747377">
      <w:pPr>
        <w:spacing w:after="200"/>
        <w:jc w:val="left"/>
      </w:pPr>
      <w:r>
        <w:br w:type="page"/>
      </w:r>
    </w:p>
    <w:p w:rsidR="009C4A0F" w:rsidRPr="00791915" w:rsidRDefault="009C4A0F" w:rsidP="001D1810"/>
    <w:tbl>
      <w:tblPr>
        <w:tblStyle w:val="Style1"/>
        <w:tblW w:w="0" w:type="auto"/>
        <w:tblLook w:val="04A0" w:firstRow="1" w:lastRow="0" w:firstColumn="1" w:lastColumn="0" w:noHBand="0" w:noVBand="1"/>
      </w:tblPr>
      <w:tblGrid>
        <w:gridCol w:w="2375"/>
        <w:gridCol w:w="2978"/>
        <w:gridCol w:w="3827"/>
      </w:tblGrid>
      <w:tr w:rsidR="001D1810" w:rsidRPr="006C4E82" w:rsidTr="0057495B">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375" w:type="dxa"/>
          </w:tcPr>
          <w:p w:rsidR="001D1810" w:rsidRPr="00FE1136" w:rsidRDefault="001D1810" w:rsidP="0057495B">
            <w:pPr>
              <w:spacing w:before="144" w:after="144"/>
              <w:jc w:val="center"/>
              <w:rPr>
                <w:rFonts w:asciiTheme="minorHAnsi" w:hAnsiTheme="minorHAnsi" w:cstheme="minorHAnsi"/>
                <w:sz w:val="22"/>
                <w:szCs w:val="22"/>
              </w:rPr>
            </w:pPr>
            <w:r w:rsidRPr="00FE1136">
              <w:rPr>
                <w:rFonts w:asciiTheme="minorHAnsi" w:hAnsiTheme="minorHAnsi" w:cstheme="minorHAnsi"/>
                <w:sz w:val="22"/>
                <w:szCs w:val="22"/>
              </w:rPr>
              <w:t>Year</w:t>
            </w:r>
          </w:p>
        </w:tc>
        <w:tc>
          <w:tcPr>
            <w:tcW w:w="2978" w:type="dxa"/>
          </w:tcPr>
          <w:p w:rsidR="001D1810" w:rsidRPr="00FE1136" w:rsidRDefault="001D1810" w:rsidP="0057495B">
            <w:pPr>
              <w:spacing w:before="144"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E1136">
              <w:rPr>
                <w:rFonts w:asciiTheme="minorHAnsi" w:hAnsiTheme="minorHAnsi" w:cstheme="minorHAnsi"/>
                <w:sz w:val="22"/>
                <w:szCs w:val="22"/>
              </w:rPr>
              <w:t>Berths</w:t>
            </w:r>
          </w:p>
        </w:tc>
        <w:tc>
          <w:tcPr>
            <w:tcW w:w="3827" w:type="dxa"/>
          </w:tcPr>
          <w:p w:rsidR="001D1810" w:rsidRPr="00FE1136" w:rsidRDefault="001D1810" w:rsidP="0057495B">
            <w:pPr>
              <w:spacing w:before="144"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E1136">
              <w:rPr>
                <w:rFonts w:asciiTheme="minorHAnsi" w:hAnsiTheme="minorHAnsi" w:cstheme="minorHAnsi"/>
                <w:sz w:val="22"/>
                <w:szCs w:val="22"/>
              </w:rPr>
              <w:t>Terminal Area (Ha)</w:t>
            </w:r>
          </w:p>
        </w:tc>
      </w:tr>
      <w:tr w:rsidR="001D1810" w:rsidRPr="006C4E82" w:rsidTr="0057495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375" w:type="dxa"/>
          </w:tcPr>
          <w:p w:rsidR="001D1810" w:rsidRPr="006C4E82" w:rsidRDefault="001D1810" w:rsidP="0057495B">
            <w:pPr>
              <w:pStyle w:val="Tables"/>
              <w:jc w:val="left"/>
            </w:pPr>
            <w:r w:rsidRPr="006C4E82">
              <w:t>Existing</w:t>
            </w:r>
          </w:p>
        </w:tc>
        <w:tc>
          <w:tcPr>
            <w:tcW w:w="2978" w:type="dxa"/>
          </w:tcPr>
          <w:p w:rsidR="001D1810" w:rsidRPr="006C4E8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r w:rsidRPr="006C4E82">
              <w:t>2</w:t>
            </w:r>
          </w:p>
        </w:tc>
        <w:tc>
          <w:tcPr>
            <w:tcW w:w="3827" w:type="dxa"/>
          </w:tcPr>
          <w:p w:rsidR="001D1810" w:rsidRPr="006C4E8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r w:rsidRPr="006C4E82">
              <w:t>13</w:t>
            </w:r>
          </w:p>
        </w:tc>
      </w:tr>
      <w:tr w:rsidR="001D1810" w:rsidRPr="006C4E82" w:rsidTr="0057495B">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375" w:type="dxa"/>
          </w:tcPr>
          <w:p w:rsidR="001D1810" w:rsidRPr="006C4E82" w:rsidRDefault="001D1810" w:rsidP="0057495B">
            <w:pPr>
              <w:pStyle w:val="Tables"/>
              <w:jc w:val="left"/>
            </w:pPr>
            <w:r w:rsidRPr="006C4E82">
              <w:t>2025</w:t>
            </w:r>
          </w:p>
        </w:tc>
        <w:tc>
          <w:tcPr>
            <w:tcW w:w="2978" w:type="dxa"/>
          </w:tcPr>
          <w:p w:rsidR="001D1810" w:rsidRPr="006C4E8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r w:rsidRPr="006C4E82">
              <w:t>3</w:t>
            </w:r>
          </w:p>
        </w:tc>
        <w:tc>
          <w:tcPr>
            <w:tcW w:w="3827" w:type="dxa"/>
          </w:tcPr>
          <w:p w:rsidR="001D1810" w:rsidRPr="006C4E82" w:rsidRDefault="001D1810" w:rsidP="0057495B">
            <w:pPr>
              <w:pStyle w:val="Tables"/>
              <w:jc w:val="center"/>
              <w:cnfStyle w:val="000000010000" w:firstRow="0" w:lastRow="0" w:firstColumn="0" w:lastColumn="0" w:oddVBand="0" w:evenVBand="0" w:oddHBand="0" w:evenHBand="1" w:firstRowFirstColumn="0" w:firstRowLastColumn="0" w:lastRowFirstColumn="0" w:lastRowLastColumn="0"/>
            </w:pPr>
            <w:r w:rsidRPr="006C4E82">
              <w:t>20</w:t>
            </w:r>
          </w:p>
        </w:tc>
      </w:tr>
      <w:tr w:rsidR="001D1810" w:rsidRPr="006C4E82" w:rsidTr="0057495B">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375" w:type="dxa"/>
          </w:tcPr>
          <w:p w:rsidR="001D1810" w:rsidRPr="006C4E82" w:rsidRDefault="001D1810" w:rsidP="0057495B">
            <w:pPr>
              <w:pStyle w:val="Tables"/>
              <w:jc w:val="left"/>
            </w:pPr>
            <w:r w:rsidRPr="006C4E82">
              <w:t>2035</w:t>
            </w:r>
          </w:p>
        </w:tc>
        <w:tc>
          <w:tcPr>
            <w:tcW w:w="2978" w:type="dxa"/>
          </w:tcPr>
          <w:p w:rsidR="001D1810" w:rsidRPr="006C4E82" w:rsidRDefault="001D1810" w:rsidP="0057495B">
            <w:pPr>
              <w:pStyle w:val="Tables"/>
              <w:jc w:val="center"/>
              <w:cnfStyle w:val="000000100000" w:firstRow="0" w:lastRow="0" w:firstColumn="0" w:lastColumn="0" w:oddVBand="0" w:evenVBand="0" w:oddHBand="1" w:evenHBand="0" w:firstRowFirstColumn="0" w:firstRowLastColumn="0" w:lastRowFirstColumn="0" w:lastRowLastColumn="0"/>
            </w:pPr>
            <w:r w:rsidRPr="006C4E82">
              <w:t>4</w:t>
            </w:r>
          </w:p>
        </w:tc>
        <w:tc>
          <w:tcPr>
            <w:tcW w:w="3827" w:type="dxa"/>
          </w:tcPr>
          <w:p w:rsidR="001D1810" w:rsidRPr="006C4E82" w:rsidRDefault="001D1810" w:rsidP="0057495B">
            <w:pPr>
              <w:pStyle w:val="Tables"/>
              <w:keepNext/>
              <w:jc w:val="center"/>
              <w:cnfStyle w:val="000000100000" w:firstRow="0" w:lastRow="0" w:firstColumn="0" w:lastColumn="0" w:oddVBand="0" w:evenVBand="0" w:oddHBand="1" w:evenHBand="0" w:firstRowFirstColumn="0" w:firstRowLastColumn="0" w:lastRowFirstColumn="0" w:lastRowLastColumn="0"/>
            </w:pPr>
            <w:r w:rsidRPr="006C4E82">
              <w:t>29</w:t>
            </w:r>
          </w:p>
        </w:tc>
      </w:tr>
    </w:tbl>
    <w:p w:rsidR="001D1810" w:rsidRDefault="001D1810" w:rsidP="001D1810">
      <w:pPr>
        <w:pStyle w:val="Caption"/>
      </w:pPr>
      <w:bookmarkStart w:id="278" w:name="_Toc364161828"/>
      <w:bookmarkStart w:id="279" w:name="_Toc366769135"/>
      <w:r>
        <w:t xml:space="preserve">Table </w:t>
      </w:r>
      <w:r w:rsidR="00CA7023">
        <w:fldChar w:fldCharType="begin"/>
      </w:r>
      <w:r w:rsidR="009A1986">
        <w:instrText xml:space="preserve"> SEQ Table \* ARABIC </w:instrText>
      </w:r>
      <w:r w:rsidR="00CA7023">
        <w:fldChar w:fldCharType="separate"/>
      </w:r>
      <w:r w:rsidR="00FF5EB2">
        <w:rPr>
          <w:noProof/>
        </w:rPr>
        <w:t>18</w:t>
      </w:r>
      <w:r w:rsidR="00CA7023">
        <w:fldChar w:fldCharType="end"/>
      </w:r>
      <w:r>
        <w:t>: Tasmania</w:t>
      </w:r>
      <w:r w:rsidRPr="00B865D5">
        <w:t xml:space="preserve"> Future Expansion</w:t>
      </w:r>
      <w:bookmarkEnd w:id="278"/>
      <w:bookmarkEnd w:id="279"/>
    </w:p>
    <w:p w:rsidR="00747377" w:rsidRDefault="00747377" w:rsidP="001D1810"/>
    <w:p w:rsidR="001D1810" w:rsidRPr="00791915" w:rsidRDefault="001D1810" w:rsidP="001D1810">
      <w:r w:rsidRPr="00791915">
        <w:t xml:space="preserve">In keeping with the </w:t>
      </w:r>
      <w:r>
        <w:t>PoMC</w:t>
      </w:r>
      <w:r w:rsidRPr="00791915">
        <w:t xml:space="preserve"> parameters, the existing berth and terminal area figures in the table above only refer to the operations of Toll-ANL and Sea</w:t>
      </w:r>
      <w:r>
        <w:t>R</w:t>
      </w:r>
      <w:r w:rsidRPr="00791915">
        <w:t>oad</w:t>
      </w:r>
      <w:r>
        <w:t xml:space="preserve"> Shipping</w:t>
      </w:r>
      <w:r w:rsidRPr="00791915">
        <w:t xml:space="preserve"> at the Ports of Burnie and Devonport respectively. </w:t>
      </w:r>
    </w:p>
    <w:p w:rsidR="001D1810" w:rsidRPr="00CC7CBE" w:rsidRDefault="001D1810" w:rsidP="00EF4C68">
      <w:pPr>
        <w:pStyle w:val="Heading3"/>
      </w:pPr>
      <w:bookmarkStart w:id="280" w:name="_Toc355588583"/>
      <w:bookmarkStart w:id="281" w:name="_Toc357761439"/>
      <w:bookmarkStart w:id="282" w:name="_Toc367700247"/>
      <w:r w:rsidRPr="00CC7CBE">
        <w:t>Port of Burnie</w:t>
      </w:r>
      <w:bookmarkEnd w:id="280"/>
      <w:bookmarkEnd w:id="281"/>
      <w:bookmarkEnd w:id="282"/>
    </w:p>
    <w:p w:rsidR="001D1810" w:rsidRDefault="001D1810" w:rsidP="001D1810">
      <w:r w:rsidRPr="00791915">
        <w:t xml:space="preserve">The </w:t>
      </w:r>
      <w:r w:rsidR="00AF6026">
        <w:t>RORO</w:t>
      </w:r>
      <w:r w:rsidRPr="00791915">
        <w:t xml:space="preserve"> terminal at Port of Burnie is currently undergoing expansion plans through joint collaboration between T</w:t>
      </w:r>
      <w:r>
        <w:t>as</w:t>
      </w:r>
      <w:r w:rsidRPr="00791915">
        <w:t>Ports, T</w:t>
      </w:r>
      <w:r>
        <w:t>as</w:t>
      </w:r>
      <w:r w:rsidRPr="00791915">
        <w:t xml:space="preserve">Rail and Toll-ANL. </w:t>
      </w:r>
    </w:p>
    <w:p w:rsidR="001D1810" w:rsidRPr="00791915" w:rsidRDefault="001D1810" w:rsidP="001D1810">
      <w:r w:rsidRPr="00791915">
        <w:t xml:space="preserve">The project includes an upgrade of the rail yard to develop an intermodal terminal. The re-routing of rail track will also enable direct access to the </w:t>
      </w:r>
      <w:r w:rsidR="00AF6026">
        <w:t>RORO</w:t>
      </w:r>
      <w:r w:rsidRPr="00791915">
        <w:t xml:space="preserve"> terminal. At present, trains need to shunt along a</w:t>
      </w:r>
      <w:r w:rsidR="00EB61EF">
        <w:t xml:space="preserve"> </w:t>
      </w:r>
      <w:r w:rsidRPr="00791915">
        <w:t xml:space="preserve">section of beach and restaurant precinct before returning to enter at the rear of the </w:t>
      </w:r>
      <w:r w:rsidR="00AF6026">
        <w:t>RORO</w:t>
      </w:r>
      <w:r w:rsidRPr="00791915">
        <w:t xml:space="preserve"> terminal. The intermodal terminal will release additional area for the storage and handling of containers. Otherwise, it is difficult to appreciate where additional terminal area can be released at Burnie to service the </w:t>
      </w:r>
      <w:r w:rsidR="00AF6026">
        <w:t>RORO</w:t>
      </w:r>
      <w:r w:rsidRPr="00791915">
        <w:t xml:space="preserve"> operation up to 2025 and beyond. </w:t>
      </w:r>
    </w:p>
    <w:p w:rsidR="001D1810" w:rsidRPr="00791915" w:rsidRDefault="001D1810" w:rsidP="001D1810">
      <w:r w:rsidRPr="00791915">
        <w:t xml:space="preserve">Conceivably berth 5 could provide an additional berth for </w:t>
      </w:r>
      <w:r w:rsidR="00AF6026">
        <w:t>RORO</w:t>
      </w:r>
      <w:r w:rsidRPr="00791915">
        <w:t xml:space="preserve"> operations. The triangulated area of land adjoining berth 5 is used for concentrate storage at present. Assuming this land is allocated for </w:t>
      </w:r>
      <w:r w:rsidR="00AF6026">
        <w:t>RORO</w:t>
      </w:r>
      <w:r w:rsidRPr="00791915">
        <w:t xml:space="preserve"> operations, it measures around 4 hectares which is well short of the forecast 7 and 16 hectares required by 2025 and 2035 respectively. The addition of berth 5 together with productivity improvements may satisfy requirements up to 2025 but at least 1 more berth would be needed up to 2035. </w:t>
      </w:r>
    </w:p>
    <w:p w:rsidR="001D1810" w:rsidRPr="00791915" w:rsidRDefault="001D1810" w:rsidP="001D1810">
      <w:r w:rsidRPr="00791915">
        <w:t xml:space="preserve">From a desktop perspective, it would appear that additional land could be developed adjoining the existing </w:t>
      </w:r>
      <w:r w:rsidR="00AF6026">
        <w:t>RORO</w:t>
      </w:r>
      <w:r w:rsidRPr="00791915">
        <w:t xml:space="preserve"> terminal by reclamation in an easterly direction towards the breakwater. This would be a costly if not prohibitively expensive solution given that the reclamation area is dredged to -10 metre. However, it would provide greater flexibility for expansion and also facilitate the extension of berth 4 and the construction of 1 or 2 additional berths. </w:t>
      </w:r>
    </w:p>
    <w:p w:rsidR="001D1810" w:rsidRPr="00791915" w:rsidRDefault="00D75D2B" w:rsidP="001D1810">
      <w:pPr>
        <w:ind w:right="-64"/>
        <w:jc w:val="left"/>
      </w:pPr>
      <w:r>
        <w:rPr>
          <w:rFonts w:asciiTheme="minorHAnsi" w:hAnsiTheme="minorHAnsi" w:cstheme="minorHAnsi"/>
          <w:noProof/>
          <w:sz w:val="22"/>
          <w:szCs w:val="22"/>
          <w:lang w:val="en-AU" w:eastAsia="en-AU"/>
        </w:rPr>
        <mc:AlternateContent>
          <mc:Choice Requires="wps">
            <w:drawing>
              <wp:anchor distT="0" distB="0" distL="114300" distR="114300" simplePos="0" relativeHeight="251659264" behindDoc="0" locked="0" layoutInCell="1" allowOverlap="1">
                <wp:simplePos x="0" y="0"/>
                <wp:positionH relativeFrom="column">
                  <wp:posOffset>1568450</wp:posOffset>
                </wp:positionH>
                <wp:positionV relativeFrom="paragraph">
                  <wp:posOffset>1165860</wp:posOffset>
                </wp:positionV>
                <wp:extent cx="676910" cy="225425"/>
                <wp:effectExtent l="0" t="95250" r="0" b="9842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63152">
                          <a:off x="0" y="0"/>
                          <a:ext cx="676910"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25FA" w:rsidRPr="00BC18E0" w:rsidRDefault="003925FA" w:rsidP="001D1810">
                            <w:pPr>
                              <w:jc w:val="center"/>
                              <w:rPr>
                                <w:color w:val="FFFFFF" w:themeColor="background1"/>
                                <w:lang w:val="en-AU"/>
                              </w:rPr>
                            </w:pPr>
                            <w:r w:rsidRPr="00BC18E0">
                              <w:rPr>
                                <w:color w:val="FFFFFF" w:themeColor="background1"/>
                                <w:lang w:val="en-AU"/>
                              </w:rPr>
                              <w:t>Berth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0" o:spid="_x0000_s1026" type="#_x0000_t202" style="position:absolute;margin-left:123.5pt;margin-top:91.8pt;width:53.3pt;height:17.75pt;rotation:170737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" filled="f" stroked="f" strokeweight=".5pt">
                <v:path arrowok="t"/>
                <v:textbox>
                  <w:txbxContent>
                    <w:p w:rsidR="003925FA" w:rsidRPr="00BC18E0" w:rsidRDefault="003925FA" w:rsidP="001D1810">
                      <w:pPr>
                        <w:jc w:val="center"/>
                        <w:rPr>
                          <w:color w:val="FFFFFF" w:themeColor="background1"/>
                          <w:lang w:val="en-AU"/>
                        </w:rPr>
                      </w:pPr>
                      <w:r w:rsidRPr="00BC18E0">
                        <w:rPr>
                          <w:color w:val="FFFFFF" w:themeColor="background1"/>
                          <w:lang w:val="en-AU"/>
                        </w:rPr>
                        <w:t>Berth 4</w:t>
                      </w:r>
                    </w:p>
                  </w:txbxContent>
                </v:textbox>
              </v:shape>
            </w:pict>
          </mc:Fallback>
        </mc:AlternateContent>
      </w:r>
      <w:r>
        <w:rPr>
          <w:rFonts w:asciiTheme="minorHAnsi" w:hAnsiTheme="minorHAnsi" w:cstheme="minorHAnsi"/>
          <w:noProof/>
          <w:sz w:val="22"/>
          <w:szCs w:val="22"/>
          <w:lang w:val="en-AU" w:eastAsia="en-AU"/>
        </w:rPr>
        <mc:AlternateContent>
          <mc:Choice Requires="wps">
            <w:drawing>
              <wp:anchor distT="0" distB="0" distL="114300" distR="114300" simplePos="0" relativeHeight="251660288" behindDoc="0" locked="0" layoutInCell="1" allowOverlap="1">
                <wp:simplePos x="0" y="0"/>
                <wp:positionH relativeFrom="column">
                  <wp:posOffset>1778635</wp:posOffset>
                </wp:positionH>
                <wp:positionV relativeFrom="paragraph">
                  <wp:posOffset>1511300</wp:posOffset>
                </wp:positionV>
                <wp:extent cx="676910" cy="225425"/>
                <wp:effectExtent l="0" t="95250" r="0" b="9842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63152">
                          <a:off x="0" y="0"/>
                          <a:ext cx="676910"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25FA" w:rsidRPr="00BC18E0" w:rsidRDefault="003925FA" w:rsidP="001D1810">
                            <w:pPr>
                              <w:jc w:val="center"/>
                              <w:rPr>
                                <w:color w:val="FFFFFF" w:themeColor="background1"/>
                                <w:lang w:val="en-AU"/>
                              </w:rPr>
                            </w:pPr>
                            <w:r w:rsidRPr="00BC18E0">
                              <w:rPr>
                                <w:color w:val="FFFFFF" w:themeColor="background1"/>
                                <w:lang w:val="en-AU"/>
                              </w:rPr>
                              <w:t xml:space="preserve">Berth </w:t>
                            </w:r>
                            <w:r>
                              <w:rPr>
                                <w:color w:val="FFFFFF" w:themeColor="background1"/>
                                <w:lang w:val="en-AU"/>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027" type="#_x0000_t202" style="position:absolute;margin-left:140.05pt;margin-top:119pt;width:53.3pt;height:17.75pt;rotation:170737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" filled="f" stroked="f" strokeweight=".5pt">
                <v:path arrowok="t"/>
                <v:textbox>
                  <w:txbxContent>
                    <w:p w:rsidR="003925FA" w:rsidRPr="00BC18E0" w:rsidRDefault="003925FA" w:rsidP="001D1810">
                      <w:pPr>
                        <w:jc w:val="center"/>
                        <w:rPr>
                          <w:color w:val="FFFFFF" w:themeColor="background1"/>
                          <w:lang w:val="en-AU"/>
                        </w:rPr>
                      </w:pPr>
                      <w:r w:rsidRPr="00BC18E0">
                        <w:rPr>
                          <w:color w:val="FFFFFF" w:themeColor="background1"/>
                          <w:lang w:val="en-AU"/>
                        </w:rPr>
                        <w:t xml:space="preserve">Berth </w:t>
                      </w:r>
                      <w:r>
                        <w:rPr>
                          <w:color w:val="FFFFFF" w:themeColor="background1"/>
                          <w:lang w:val="en-AU"/>
                        </w:rPr>
                        <w:t>5</w:t>
                      </w:r>
                    </w:p>
                  </w:txbxContent>
                </v:textbox>
              </v:shape>
            </w:pict>
          </mc:Fallback>
        </mc:AlternateContent>
      </w:r>
      <w:r>
        <w:rPr>
          <w:rFonts w:asciiTheme="minorHAnsi" w:hAnsiTheme="minorHAnsi" w:cstheme="minorHAnsi"/>
          <w:noProof/>
          <w:sz w:val="22"/>
          <w:szCs w:val="22"/>
          <w:lang w:val="en-AU" w:eastAsia="en-AU"/>
        </w:rPr>
        <mc:AlternateContent>
          <mc:Choice Requires="wps">
            <w:drawing>
              <wp:anchor distT="0" distB="0" distL="114300" distR="114300" simplePos="0" relativeHeight="251662336" behindDoc="0" locked="0" layoutInCell="1" allowOverlap="1">
                <wp:simplePos x="0" y="0"/>
                <wp:positionH relativeFrom="column">
                  <wp:posOffset>1437640</wp:posOffset>
                </wp:positionH>
                <wp:positionV relativeFrom="paragraph">
                  <wp:posOffset>2620010</wp:posOffset>
                </wp:positionV>
                <wp:extent cx="676275" cy="225425"/>
                <wp:effectExtent l="0" t="57150" r="0" b="6032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9326">
                          <a:off x="0" y="0"/>
                          <a:ext cx="676275"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25FA" w:rsidRPr="00BC18E0" w:rsidRDefault="003925FA" w:rsidP="001D1810">
                            <w:pPr>
                              <w:jc w:val="center"/>
                              <w:rPr>
                                <w:color w:val="FFFFFF" w:themeColor="background1"/>
                                <w:lang w:val="en-AU"/>
                              </w:rPr>
                            </w:pPr>
                            <w:r w:rsidRPr="00BC18E0">
                              <w:rPr>
                                <w:color w:val="FFFFFF" w:themeColor="background1"/>
                                <w:lang w:val="en-AU"/>
                              </w:rPr>
                              <w:t xml:space="preserve">Berth </w:t>
                            </w:r>
                            <w:r>
                              <w:rPr>
                                <w:color w:val="FFFFFF" w:themeColor="background1"/>
                                <w:lang w:val="en-AU"/>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028" type="#_x0000_t202" style="position:absolute;margin-left:113.2pt;margin-top:206.3pt;width:53.25pt;height:17.75pt;rotation:-103839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" filled="f" stroked="f" strokeweight=".5pt">
                <v:path arrowok="t"/>
                <v:textbox>
                  <w:txbxContent>
                    <w:p w:rsidR="003925FA" w:rsidRPr="00BC18E0" w:rsidRDefault="003925FA" w:rsidP="001D1810">
                      <w:pPr>
                        <w:jc w:val="center"/>
                        <w:rPr>
                          <w:color w:val="FFFFFF" w:themeColor="background1"/>
                          <w:lang w:val="en-AU"/>
                        </w:rPr>
                      </w:pPr>
                      <w:r w:rsidRPr="00BC18E0">
                        <w:rPr>
                          <w:color w:val="FFFFFF" w:themeColor="background1"/>
                          <w:lang w:val="en-AU"/>
                        </w:rPr>
                        <w:t xml:space="preserve">Berth </w:t>
                      </w:r>
                      <w:r>
                        <w:rPr>
                          <w:color w:val="FFFFFF" w:themeColor="background1"/>
                          <w:lang w:val="en-AU"/>
                        </w:rPr>
                        <w:t>7</w:t>
                      </w:r>
                    </w:p>
                  </w:txbxContent>
                </v:textbox>
              </v:shape>
            </w:pict>
          </mc:Fallback>
        </mc:AlternateContent>
      </w:r>
      <w:r>
        <w:rPr>
          <w:rFonts w:asciiTheme="minorHAnsi" w:hAnsiTheme="minorHAnsi" w:cstheme="minorHAnsi"/>
          <w:noProof/>
          <w:sz w:val="22"/>
          <w:szCs w:val="22"/>
          <w:lang w:val="en-AU" w:eastAsia="en-AU"/>
        </w:rPr>
        <mc:AlternateContent>
          <mc:Choice Requires="wps">
            <w:drawing>
              <wp:anchor distT="0" distB="0" distL="114300" distR="114300" simplePos="0" relativeHeight="251661312" behindDoc="0" locked="0" layoutInCell="1" allowOverlap="1">
                <wp:simplePos x="0" y="0"/>
                <wp:positionH relativeFrom="column">
                  <wp:posOffset>1718945</wp:posOffset>
                </wp:positionH>
                <wp:positionV relativeFrom="paragraph">
                  <wp:posOffset>2269490</wp:posOffset>
                </wp:positionV>
                <wp:extent cx="676275" cy="225425"/>
                <wp:effectExtent l="0" t="38100" r="0" b="4127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5508">
                          <a:off x="0" y="0"/>
                          <a:ext cx="676275"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25FA" w:rsidRPr="00BC18E0" w:rsidRDefault="003925FA" w:rsidP="001D1810">
                            <w:pPr>
                              <w:jc w:val="center"/>
                              <w:rPr>
                                <w:color w:val="FFFFFF" w:themeColor="background1"/>
                                <w:lang w:val="en-AU"/>
                              </w:rPr>
                            </w:pPr>
                            <w:r w:rsidRPr="00BC18E0">
                              <w:rPr>
                                <w:color w:val="FFFFFF" w:themeColor="background1"/>
                                <w:lang w:val="en-AU"/>
                              </w:rPr>
                              <w:t xml:space="preserve">Berth </w:t>
                            </w:r>
                            <w:r>
                              <w:rPr>
                                <w:color w:val="FFFFFF" w:themeColor="background1"/>
                                <w:lang w:val="en-AU"/>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 o:spid="_x0000_s1029" type="#_x0000_t202" style="position:absolute;margin-left:135.35pt;margin-top:178.7pt;width:53.25pt;height:17.75pt;rotation:-78041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" filled="f" stroked="f" strokeweight=".5pt">
                <v:path arrowok="t"/>
                <v:textbox>
                  <w:txbxContent>
                    <w:p w:rsidR="003925FA" w:rsidRPr="00BC18E0" w:rsidRDefault="003925FA" w:rsidP="001D1810">
                      <w:pPr>
                        <w:jc w:val="center"/>
                        <w:rPr>
                          <w:color w:val="FFFFFF" w:themeColor="background1"/>
                          <w:lang w:val="en-AU"/>
                        </w:rPr>
                      </w:pPr>
                      <w:r w:rsidRPr="00BC18E0">
                        <w:rPr>
                          <w:color w:val="FFFFFF" w:themeColor="background1"/>
                          <w:lang w:val="en-AU"/>
                        </w:rPr>
                        <w:t xml:space="preserve">Berth </w:t>
                      </w:r>
                      <w:r>
                        <w:rPr>
                          <w:color w:val="FFFFFF" w:themeColor="background1"/>
                          <w:lang w:val="en-AU"/>
                        </w:rPr>
                        <w:t>6</w:t>
                      </w:r>
                    </w:p>
                  </w:txbxContent>
                </v:textbox>
              </v:shape>
            </w:pict>
          </mc:Fallback>
        </mc:AlternateContent>
      </w:r>
      <w:r w:rsidR="001D1810" w:rsidRPr="00277B71">
        <w:rPr>
          <w:rFonts w:asciiTheme="minorHAnsi" w:hAnsiTheme="minorHAnsi" w:cstheme="minorHAnsi"/>
          <w:noProof/>
          <w:sz w:val="22"/>
          <w:szCs w:val="22"/>
          <w:lang w:val="en-AU" w:eastAsia="en-AU"/>
        </w:rPr>
        <w:drawing>
          <wp:inline distT="0" distB="0" distL="0" distR="0">
            <wp:extent cx="5400000" cy="3955814"/>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R-Burnie-Aerial.jpg"/>
                    <pic:cNvPicPr/>
                  </pic:nvPicPr>
                  <pic:blipFill rotWithShape="1">
                    <a:blip r:embed="rId27" cstate="print">
                      <a:extLst>
                        <a:ext uri="{28A0092B-C50C-407E-A947-70E740481C1C}">
                          <a14:useLocalDpi xmlns:a14="http://schemas.microsoft.com/office/drawing/2010/main" val="0"/>
                        </a:ext>
                      </a:extLst>
                    </a:blip>
                    <a:srcRect t="11042" b="10188"/>
                    <a:stretch/>
                  </pic:blipFill>
                  <pic:spPr bwMode="auto">
                    <a:xfrm>
                      <a:off x="0" y="0"/>
                      <a:ext cx="5400000" cy="3955814"/>
                    </a:xfrm>
                    <a:prstGeom prst="rect">
                      <a:avLst/>
                    </a:prstGeom>
                    <a:ln>
                      <a:noFill/>
                    </a:ln>
                    <a:extLst>
                      <a:ext uri="{53640926-AAD7-44D8-BBD7-CCE9431645EC}">
                        <a14:shadowObscured xmlns:a14="http://schemas.microsoft.com/office/drawing/2010/main"/>
                      </a:ext>
                    </a:extLst>
                  </pic:spPr>
                </pic:pic>
              </a:graphicData>
            </a:graphic>
          </wp:inline>
        </w:drawing>
      </w:r>
      <w:r w:rsidR="001D1810" w:rsidRPr="00791915">
        <w:t xml:space="preserve">       </w:t>
      </w:r>
    </w:p>
    <w:p w:rsidR="001D1810" w:rsidRPr="00ED1027" w:rsidRDefault="001D1810" w:rsidP="001D1810">
      <w:pPr>
        <w:pStyle w:val="Caption"/>
      </w:pPr>
      <w:bookmarkStart w:id="283" w:name="_Toc364151988"/>
      <w:bookmarkStart w:id="284" w:name="_Toc366769137"/>
      <w:r>
        <w:t xml:space="preserve">Figure </w:t>
      </w:r>
      <w:r w:rsidR="00CA7023">
        <w:fldChar w:fldCharType="begin"/>
      </w:r>
      <w:r>
        <w:instrText xml:space="preserve"> SEQ Figure \* ARABIC </w:instrText>
      </w:r>
      <w:r w:rsidR="00CA7023">
        <w:fldChar w:fldCharType="separate"/>
      </w:r>
      <w:r w:rsidR="00FF5EB2">
        <w:rPr>
          <w:noProof/>
        </w:rPr>
        <w:t>2</w:t>
      </w:r>
      <w:r w:rsidR="00CA7023">
        <w:fldChar w:fldCharType="end"/>
      </w:r>
      <w:r>
        <w:t>: Port of Burnie Aerial Photo</w:t>
      </w:r>
      <w:bookmarkEnd w:id="283"/>
      <w:bookmarkEnd w:id="284"/>
      <w:r w:rsidR="00A5218B">
        <w:t xml:space="preserve"> (Source: Bing Maps)</w:t>
      </w:r>
    </w:p>
    <w:p w:rsidR="001D1810" w:rsidRDefault="001D1810" w:rsidP="001D1810">
      <w:pPr>
        <w:keepNext/>
      </w:pPr>
      <w:r w:rsidRPr="00277B71">
        <w:rPr>
          <w:rFonts w:asciiTheme="minorHAnsi" w:hAnsiTheme="minorHAnsi" w:cstheme="minorHAnsi"/>
          <w:noProof/>
          <w:sz w:val="22"/>
          <w:szCs w:val="22"/>
          <w:lang w:val="en-AU" w:eastAsia="en-AU"/>
        </w:rPr>
        <w:drawing>
          <wp:inline distT="0" distB="0" distL="0" distR="0">
            <wp:extent cx="5400000" cy="383435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R-Port of Burni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00" cy="3834351"/>
                    </a:xfrm>
                    <a:prstGeom prst="rect">
                      <a:avLst/>
                    </a:prstGeom>
                  </pic:spPr>
                </pic:pic>
              </a:graphicData>
            </a:graphic>
          </wp:inline>
        </w:drawing>
      </w:r>
    </w:p>
    <w:p w:rsidR="001D1810" w:rsidRPr="00FE1136" w:rsidRDefault="001D1810" w:rsidP="001D1810">
      <w:pPr>
        <w:pStyle w:val="Caption"/>
      </w:pPr>
      <w:bookmarkStart w:id="285" w:name="_Toc364151989"/>
      <w:bookmarkStart w:id="286" w:name="_Toc366769138"/>
      <w:r>
        <w:t xml:space="preserve">Figure </w:t>
      </w:r>
      <w:r w:rsidR="00CA7023">
        <w:fldChar w:fldCharType="begin"/>
      </w:r>
      <w:r>
        <w:instrText xml:space="preserve"> SEQ Figure \* ARABIC </w:instrText>
      </w:r>
      <w:r w:rsidR="00CA7023">
        <w:fldChar w:fldCharType="separate"/>
      </w:r>
      <w:r w:rsidR="00FF5EB2">
        <w:rPr>
          <w:noProof/>
        </w:rPr>
        <w:t>3</w:t>
      </w:r>
      <w:r w:rsidR="00CA7023">
        <w:fldChar w:fldCharType="end"/>
      </w:r>
      <w:r>
        <w:t>: Port of Burnie Maritime Chart</w:t>
      </w:r>
      <w:bookmarkEnd w:id="285"/>
      <w:bookmarkEnd w:id="286"/>
    </w:p>
    <w:p w:rsidR="001D1810" w:rsidRPr="00737065" w:rsidRDefault="001D1810" w:rsidP="00EF4C68">
      <w:pPr>
        <w:pStyle w:val="Heading3"/>
      </w:pPr>
      <w:bookmarkStart w:id="287" w:name="_Toc355588584"/>
      <w:bookmarkStart w:id="288" w:name="_Toc357761440"/>
      <w:bookmarkStart w:id="289" w:name="_Toc367700248"/>
      <w:r>
        <w:t>Port of Devonport</w:t>
      </w:r>
      <w:bookmarkEnd w:id="287"/>
      <w:bookmarkEnd w:id="288"/>
      <w:bookmarkEnd w:id="289"/>
      <w:r w:rsidRPr="00737065">
        <w:t xml:space="preserve"> </w:t>
      </w:r>
    </w:p>
    <w:p w:rsidR="001D1810" w:rsidRDefault="001D1810" w:rsidP="001D1810">
      <w:r w:rsidRPr="00791915">
        <w:t>Currently, productivity by Sea</w:t>
      </w:r>
      <w:r>
        <w:t>R</w:t>
      </w:r>
      <w:r w:rsidRPr="00791915">
        <w:t xml:space="preserve">oad </w:t>
      </w:r>
      <w:r>
        <w:t xml:space="preserve">Shipping </w:t>
      </w:r>
      <w:r w:rsidRPr="00791915">
        <w:t xml:space="preserve">at the Port of Devonport (15,000 </w:t>
      </w:r>
      <w:r>
        <w:t>TEU</w:t>
      </w:r>
      <w:r w:rsidRPr="00791915">
        <w:t xml:space="preserve"> per hectare per year) is relatively low compared to Toll-ANL’s (40,000 </w:t>
      </w:r>
      <w:r>
        <w:t>TEU</w:t>
      </w:r>
      <w:r w:rsidRPr="00791915">
        <w:t xml:space="preserve"> per hectare per year) at the Port of Burnie. </w:t>
      </w:r>
    </w:p>
    <w:p w:rsidR="001D1810" w:rsidRPr="00791915" w:rsidRDefault="001D1810" w:rsidP="001D1810">
      <w:r>
        <w:t>So</w:t>
      </w:r>
      <w:r w:rsidRPr="00791915">
        <w:t xml:space="preserve"> there is probably </w:t>
      </w:r>
      <w:r>
        <w:t xml:space="preserve">an </w:t>
      </w:r>
      <w:r w:rsidRPr="00791915">
        <w:t>opportunity for productivity improvements before land area becomes an issue for Sea</w:t>
      </w:r>
      <w:r>
        <w:t>R</w:t>
      </w:r>
      <w:r w:rsidRPr="00791915">
        <w:t xml:space="preserve">oad </w:t>
      </w:r>
      <w:r>
        <w:t xml:space="preserve">Shipping </w:t>
      </w:r>
      <w:r w:rsidRPr="00791915">
        <w:t xml:space="preserve">at Devonport. Theoretically, the current area of 7 hectares could support throughput to a capacity of 280,000 </w:t>
      </w:r>
      <w:r>
        <w:t>TEU</w:t>
      </w:r>
      <w:r w:rsidRPr="00791915">
        <w:t xml:space="preserve"> per year (almost three times current volumes).</w:t>
      </w:r>
    </w:p>
    <w:p w:rsidR="001D1810" w:rsidRDefault="001D1810" w:rsidP="001D1810">
      <w:r w:rsidRPr="00791915">
        <w:t xml:space="preserve">Urban encroachment severely restricts the ability to expand inland. Reclamation opportunities are also limited given that the river is narrow and the turning basin is already tight for the vessels currently using berths 1 and 2 and the downstream berths on the west bank.  There is land to the south of the existing terminal that appears to have low-level occupation and some potential opportunity for expansion. However the area is narrow and would only add about 1 or 2 hectares. It would further elongate the terminal making for longer travel distance and more inefficient operations on the terminal. </w:t>
      </w:r>
    </w:p>
    <w:p w:rsidR="001D1810" w:rsidRPr="00791915" w:rsidRDefault="001D1810" w:rsidP="001D1810">
      <w:r w:rsidRPr="00791915">
        <w:t>The Port of Devonport is also disadvantaged by not having connection to the railway.</w:t>
      </w:r>
    </w:p>
    <w:p w:rsidR="001D1810" w:rsidRPr="00791915" w:rsidRDefault="001D1810" w:rsidP="001D1810">
      <w:r w:rsidRPr="00791915">
        <w:t>The current configuration of berths 1</w:t>
      </w:r>
      <w:r w:rsidR="00EB61EF">
        <w:t>E</w:t>
      </w:r>
      <w:r w:rsidRPr="00791915">
        <w:t xml:space="preserve"> and 2</w:t>
      </w:r>
      <w:r w:rsidR="00EB61EF">
        <w:t>E</w:t>
      </w:r>
      <w:r w:rsidRPr="00791915">
        <w:t xml:space="preserve"> results in the bow of TT</w:t>
      </w:r>
      <w:r>
        <w:t>-</w:t>
      </w:r>
      <w:r w:rsidRPr="00791915">
        <w:t xml:space="preserve">Line’s Spirit of Tasmania </w:t>
      </w:r>
      <w:r w:rsidR="009C4A0F">
        <w:t>overlaps</w:t>
      </w:r>
      <w:r w:rsidR="009C4A0F" w:rsidRPr="00791915">
        <w:t xml:space="preserve"> </w:t>
      </w:r>
      <w:r w:rsidRPr="00791915">
        <w:t xml:space="preserve">or </w:t>
      </w:r>
      <w:r w:rsidR="009C4A0F">
        <w:t>extends</w:t>
      </w:r>
      <w:r w:rsidR="009C4A0F" w:rsidRPr="00791915">
        <w:t xml:space="preserve"> </w:t>
      </w:r>
      <w:r w:rsidRPr="00791915">
        <w:t>beyond the stern of the Sea</w:t>
      </w:r>
      <w:r>
        <w:t>R</w:t>
      </w:r>
      <w:r w:rsidRPr="00791915">
        <w:t xml:space="preserve">oad </w:t>
      </w:r>
      <w:r>
        <w:t xml:space="preserve">Shipping </w:t>
      </w:r>
      <w:r w:rsidRPr="00791915">
        <w:t xml:space="preserve">vessels when both are </w:t>
      </w:r>
      <w:r w:rsidR="009C4A0F">
        <w:t>in port</w:t>
      </w:r>
      <w:r w:rsidRPr="00791915">
        <w:t>. This does not seem to pose a problem for now but may dictate changes to the wharf and docking arrangements in future, should Sea</w:t>
      </w:r>
      <w:r>
        <w:t>R</w:t>
      </w:r>
      <w:r w:rsidRPr="00791915">
        <w:t xml:space="preserve">oad </w:t>
      </w:r>
      <w:r>
        <w:t xml:space="preserve">Shipping </w:t>
      </w:r>
      <w:r w:rsidRPr="00791915">
        <w:t>increase the size and width of their vessels.</w:t>
      </w:r>
    </w:p>
    <w:p w:rsidR="001D1810" w:rsidRPr="00791915" w:rsidRDefault="001D1810" w:rsidP="001D1810">
      <w:r w:rsidRPr="00791915">
        <w:t>There is limited constraint to developing an additional berth at Devonport (berth 3</w:t>
      </w:r>
      <w:r w:rsidR="00EB61EF">
        <w:t>E</w:t>
      </w:r>
      <w:r w:rsidRPr="00791915">
        <w:t>) but it would seem redundant if land could not be expanded commensurately.</w:t>
      </w:r>
    </w:p>
    <w:p w:rsidR="001D1810" w:rsidRDefault="00D75D2B" w:rsidP="001D1810">
      <w:pPr>
        <w:keepNext/>
        <w:jc w:val="center"/>
      </w:pPr>
      <w:r>
        <w:rPr>
          <w:rFonts w:asciiTheme="minorHAnsi" w:hAnsiTheme="minorHAnsi" w:cstheme="minorHAnsi"/>
          <w:noProof/>
          <w:sz w:val="22"/>
          <w:szCs w:val="22"/>
          <w:lang w:val="en-AU" w:eastAsia="en-AU"/>
        </w:rPr>
        <mc:AlternateContent>
          <mc:Choice Requires="wps">
            <w:drawing>
              <wp:anchor distT="0" distB="0" distL="114300" distR="114300" simplePos="0" relativeHeight="251665408" behindDoc="0" locked="0" layoutInCell="1" allowOverlap="1">
                <wp:simplePos x="0" y="0"/>
                <wp:positionH relativeFrom="column">
                  <wp:posOffset>1938655</wp:posOffset>
                </wp:positionH>
                <wp:positionV relativeFrom="paragraph">
                  <wp:posOffset>4195445</wp:posOffset>
                </wp:positionV>
                <wp:extent cx="836930" cy="227965"/>
                <wp:effectExtent l="37782" t="0" r="39053" b="0"/>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781858">
                          <a:off x="0" y="0"/>
                          <a:ext cx="836930" cy="22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25FA" w:rsidRPr="00BC18E0" w:rsidRDefault="003925FA" w:rsidP="001D1810">
                            <w:pPr>
                              <w:jc w:val="center"/>
                              <w:rPr>
                                <w:color w:val="FFFFFF" w:themeColor="background1"/>
                                <w:lang w:val="en-AU"/>
                              </w:rPr>
                            </w:pPr>
                            <w:r w:rsidRPr="00BC18E0">
                              <w:rPr>
                                <w:color w:val="FFFFFF" w:themeColor="background1"/>
                                <w:lang w:val="en-AU"/>
                              </w:rPr>
                              <w:t xml:space="preserve">Berth </w:t>
                            </w:r>
                            <w:r>
                              <w:rPr>
                                <w:color w:val="FFFFFF" w:themeColor="background1"/>
                                <w:lang w:val="en-AU"/>
                              </w:rPr>
                              <w:t>3E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6" o:spid="_x0000_s1030" type="#_x0000_t202" style="position:absolute;left:0;text-align:left;margin-left:152.65pt;margin-top:330.35pt;width:65.9pt;height:17.95pt;rotation:-635496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" filled="f" stroked="f" strokeweight=".5pt">
                <v:path arrowok="t"/>
                <v:textbox>
                  <w:txbxContent>
                    <w:p w:rsidR="003925FA" w:rsidRPr="00BC18E0" w:rsidRDefault="003925FA" w:rsidP="001D1810">
                      <w:pPr>
                        <w:jc w:val="center"/>
                        <w:rPr>
                          <w:color w:val="FFFFFF" w:themeColor="background1"/>
                          <w:lang w:val="en-AU"/>
                        </w:rPr>
                      </w:pPr>
                      <w:r w:rsidRPr="00BC18E0">
                        <w:rPr>
                          <w:color w:val="FFFFFF" w:themeColor="background1"/>
                          <w:lang w:val="en-AU"/>
                        </w:rPr>
                        <w:t xml:space="preserve">Berth </w:t>
                      </w:r>
                      <w:r>
                        <w:rPr>
                          <w:color w:val="FFFFFF" w:themeColor="background1"/>
                          <w:lang w:val="en-AU"/>
                        </w:rPr>
                        <w:t>3E</w:t>
                      </w:r>
                    </w:p>
                  </w:txbxContent>
                </v:textbox>
              </v:shape>
            </w:pict>
          </mc:Fallback>
        </mc:AlternateContent>
      </w:r>
      <w:r>
        <w:rPr>
          <w:rFonts w:asciiTheme="minorHAnsi" w:hAnsiTheme="minorHAnsi" w:cstheme="minorHAnsi"/>
          <w:noProof/>
          <w:sz w:val="22"/>
          <w:szCs w:val="22"/>
          <w:lang w:val="en-AU" w:eastAsia="en-AU"/>
        </w:rPr>
        <mc:AlternateContent>
          <mc:Choice Requires="wps">
            <w:drawing>
              <wp:anchor distT="0" distB="0" distL="114300" distR="114300" simplePos="0" relativeHeight="251664384" behindDoc="0" locked="0" layoutInCell="1" allowOverlap="1">
                <wp:simplePos x="0" y="0"/>
                <wp:positionH relativeFrom="column">
                  <wp:posOffset>1663065</wp:posOffset>
                </wp:positionH>
                <wp:positionV relativeFrom="paragraph">
                  <wp:posOffset>2976880</wp:posOffset>
                </wp:positionV>
                <wp:extent cx="836930" cy="219710"/>
                <wp:effectExtent l="3810" t="0" r="43180" b="0"/>
                <wp:wrapNone/>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781858">
                          <a:off x="0" y="0"/>
                          <a:ext cx="83693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25FA" w:rsidRPr="00BC18E0" w:rsidRDefault="003925FA" w:rsidP="001D1810">
                            <w:pPr>
                              <w:jc w:val="center"/>
                              <w:rPr>
                                <w:color w:val="FFFFFF" w:themeColor="background1"/>
                                <w:lang w:val="en-AU"/>
                              </w:rPr>
                            </w:pPr>
                            <w:r w:rsidRPr="00BC18E0">
                              <w:rPr>
                                <w:color w:val="FFFFFF" w:themeColor="background1"/>
                                <w:lang w:val="en-AU"/>
                              </w:rPr>
                              <w:t xml:space="preserve">Berth </w:t>
                            </w:r>
                            <w:r>
                              <w:rPr>
                                <w:color w:val="FFFFFF" w:themeColor="background1"/>
                                <w:lang w:val="en-AU"/>
                              </w:rPr>
                              <w:t>2E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5" o:spid="_x0000_s1031" type="#_x0000_t202" style="position:absolute;left:0;text-align:left;margin-left:130.95pt;margin-top:234.4pt;width:65.9pt;height:17.3pt;rotation:-635496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" filled="f" stroked="f" strokeweight=".5pt">
                <v:path arrowok="t"/>
                <v:textbox>
                  <w:txbxContent>
                    <w:p w:rsidR="003925FA" w:rsidRPr="00BC18E0" w:rsidRDefault="003925FA" w:rsidP="001D1810">
                      <w:pPr>
                        <w:jc w:val="center"/>
                        <w:rPr>
                          <w:color w:val="FFFFFF" w:themeColor="background1"/>
                          <w:lang w:val="en-AU"/>
                        </w:rPr>
                      </w:pPr>
                      <w:r w:rsidRPr="00BC18E0">
                        <w:rPr>
                          <w:color w:val="FFFFFF" w:themeColor="background1"/>
                          <w:lang w:val="en-AU"/>
                        </w:rPr>
                        <w:t xml:space="preserve">Berth </w:t>
                      </w:r>
                      <w:r>
                        <w:rPr>
                          <w:color w:val="FFFFFF" w:themeColor="background1"/>
                          <w:lang w:val="en-AU"/>
                        </w:rPr>
                        <w:t>2E</w:t>
                      </w:r>
                    </w:p>
                  </w:txbxContent>
                </v:textbox>
              </v:shape>
            </w:pict>
          </mc:Fallback>
        </mc:AlternateContent>
      </w:r>
      <w:r>
        <w:rPr>
          <w:rFonts w:asciiTheme="minorHAnsi" w:hAnsiTheme="minorHAnsi" w:cstheme="minorHAnsi"/>
          <w:noProof/>
          <w:sz w:val="22"/>
          <w:szCs w:val="22"/>
          <w:lang w:val="en-AU" w:eastAsia="en-AU"/>
        </w:rPr>
        <mc:AlternateContent>
          <mc:Choice Requires="wps">
            <w:drawing>
              <wp:anchor distT="0" distB="0" distL="114300" distR="114300" simplePos="0" relativeHeight="251663360" behindDoc="0" locked="0" layoutInCell="1" allowOverlap="1">
                <wp:simplePos x="0" y="0"/>
                <wp:positionH relativeFrom="column">
                  <wp:posOffset>1195070</wp:posOffset>
                </wp:positionH>
                <wp:positionV relativeFrom="paragraph">
                  <wp:posOffset>1720850</wp:posOffset>
                </wp:positionV>
                <wp:extent cx="836930" cy="265430"/>
                <wp:effectExtent l="0" t="0" r="3937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781858">
                          <a:off x="0" y="0"/>
                          <a:ext cx="83693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25FA" w:rsidRPr="00BC18E0" w:rsidRDefault="003925FA" w:rsidP="001D1810">
                            <w:pPr>
                              <w:jc w:val="center"/>
                              <w:rPr>
                                <w:color w:val="FFFFFF" w:themeColor="background1"/>
                                <w:lang w:val="en-AU"/>
                              </w:rPr>
                            </w:pPr>
                            <w:r w:rsidRPr="00BC18E0">
                              <w:rPr>
                                <w:color w:val="FFFFFF" w:themeColor="background1"/>
                                <w:lang w:val="en-AU"/>
                              </w:rPr>
                              <w:t xml:space="preserve">Berth </w:t>
                            </w:r>
                            <w:r>
                              <w:rPr>
                                <w:color w:val="FFFFFF" w:themeColor="background1"/>
                                <w:lang w:val="en-AU"/>
                              </w:rPr>
                              <w:t>1E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32" type="#_x0000_t202" style="position:absolute;left:0;text-align:left;margin-left:94.1pt;margin-top:135.5pt;width:65.9pt;height:20.9pt;rotation:-635496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" filled="f" stroked="f" strokeweight=".5pt">
                <v:path arrowok="t"/>
                <v:textbox>
                  <w:txbxContent>
                    <w:p w:rsidR="003925FA" w:rsidRPr="00BC18E0" w:rsidRDefault="003925FA" w:rsidP="001D1810">
                      <w:pPr>
                        <w:jc w:val="center"/>
                        <w:rPr>
                          <w:color w:val="FFFFFF" w:themeColor="background1"/>
                          <w:lang w:val="en-AU"/>
                        </w:rPr>
                      </w:pPr>
                      <w:r w:rsidRPr="00BC18E0">
                        <w:rPr>
                          <w:color w:val="FFFFFF" w:themeColor="background1"/>
                          <w:lang w:val="en-AU"/>
                        </w:rPr>
                        <w:t xml:space="preserve">Berth </w:t>
                      </w:r>
                      <w:r>
                        <w:rPr>
                          <w:color w:val="FFFFFF" w:themeColor="background1"/>
                          <w:lang w:val="en-AU"/>
                        </w:rPr>
                        <w:t>1E</w:t>
                      </w:r>
                    </w:p>
                  </w:txbxContent>
                </v:textbox>
              </v:shape>
            </w:pict>
          </mc:Fallback>
        </mc:AlternateContent>
      </w:r>
      <w:r w:rsidR="001D1810" w:rsidRPr="00277B71">
        <w:rPr>
          <w:rFonts w:asciiTheme="minorHAnsi" w:hAnsiTheme="minorHAnsi" w:cstheme="minorHAnsi"/>
          <w:noProof/>
          <w:sz w:val="22"/>
          <w:szCs w:val="22"/>
          <w:lang w:val="en-AU" w:eastAsia="en-AU"/>
        </w:rPr>
        <w:drawing>
          <wp:inline distT="0" distB="0" distL="0" distR="0">
            <wp:extent cx="5353812" cy="707745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R-Devonport-Aeri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53812" cy="7077456"/>
                    </a:xfrm>
                    <a:prstGeom prst="rect">
                      <a:avLst/>
                    </a:prstGeom>
                  </pic:spPr>
                </pic:pic>
              </a:graphicData>
            </a:graphic>
          </wp:inline>
        </w:drawing>
      </w:r>
    </w:p>
    <w:p w:rsidR="001D1810" w:rsidRPr="00ED1027" w:rsidRDefault="001D1810" w:rsidP="001D1810">
      <w:pPr>
        <w:pStyle w:val="Caption"/>
      </w:pPr>
      <w:bookmarkStart w:id="290" w:name="_Toc364151990"/>
      <w:bookmarkStart w:id="291" w:name="_Toc366769139"/>
      <w:r>
        <w:t xml:space="preserve">Figure </w:t>
      </w:r>
      <w:r w:rsidR="00CA7023">
        <w:fldChar w:fldCharType="begin"/>
      </w:r>
      <w:r>
        <w:instrText xml:space="preserve"> SEQ Figure \* ARABIC </w:instrText>
      </w:r>
      <w:r w:rsidR="00CA7023">
        <w:fldChar w:fldCharType="separate"/>
      </w:r>
      <w:r w:rsidR="00FF5EB2">
        <w:rPr>
          <w:noProof/>
        </w:rPr>
        <w:t>4</w:t>
      </w:r>
      <w:r w:rsidR="00CA7023">
        <w:fldChar w:fldCharType="end"/>
      </w:r>
      <w:r>
        <w:t>: Port of Devonport Aerial Photo</w:t>
      </w:r>
      <w:bookmarkEnd w:id="290"/>
      <w:bookmarkEnd w:id="291"/>
      <w:r w:rsidR="00A5218B">
        <w:t xml:space="preserve"> (Source: Bing Maps)</w:t>
      </w:r>
    </w:p>
    <w:p w:rsidR="001D1810" w:rsidRDefault="001D1810" w:rsidP="001D1810">
      <w:pPr>
        <w:keepNext/>
        <w:jc w:val="center"/>
      </w:pPr>
      <w:r w:rsidRPr="00277B71">
        <w:rPr>
          <w:rFonts w:asciiTheme="minorHAnsi" w:hAnsiTheme="minorHAnsi" w:cstheme="minorHAnsi"/>
          <w:noProof/>
          <w:sz w:val="22"/>
          <w:szCs w:val="22"/>
          <w:lang w:val="en-AU" w:eastAsia="en-AU"/>
        </w:rPr>
        <w:drawing>
          <wp:inline distT="0" distB="0" distL="0" distR="0">
            <wp:extent cx="5029354" cy="768319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R-Devonpor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3741" cy="7705169"/>
                    </a:xfrm>
                    <a:prstGeom prst="rect">
                      <a:avLst/>
                    </a:prstGeom>
                  </pic:spPr>
                </pic:pic>
              </a:graphicData>
            </a:graphic>
          </wp:inline>
        </w:drawing>
      </w:r>
    </w:p>
    <w:p w:rsidR="001D1810" w:rsidRPr="00ED1027" w:rsidRDefault="001D1810" w:rsidP="001D1810">
      <w:pPr>
        <w:pStyle w:val="Caption"/>
      </w:pPr>
      <w:bookmarkStart w:id="292" w:name="_Toc364151991"/>
      <w:bookmarkStart w:id="293" w:name="_Toc366769140"/>
      <w:r>
        <w:t xml:space="preserve">Figure </w:t>
      </w:r>
      <w:r w:rsidR="00CA7023">
        <w:fldChar w:fldCharType="begin"/>
      </w:r>
      <w:r>
        <w:instrText xml:space="preserve"> SEQ Figure \* ARABIC </w:instrText>
      </w:r>
      <w:r w:rsidR="00CA7023">
        <w:fldChar w:fldCharType="separate"/>
      </w:r>
      <w:r w:rsidR="00FF5EB2">
        <w:rPr>
          <w:noProof/>
        </w:rPr>
        <w:t>5</w:t>
      </w:r>
      <w:r w:rsidR="00CA7023">
        <w:fldChar w:fldCharType="end"/>
      </w:r>
      <w:r>
        <w:t>: Port of Devonport Maritime Chart</w:t>
      </w:r>
      <w:bookmarkEnd w:id="292"/>
      <w:bookmarkEnd w:id="293"/>
    </w:p>
    <w:p w:rsidR="001D1810" w:rsidRPr="00737065" w:rsidRDefault="001D1810" w:rsidP="00EF4C68">
      <w:pPr>
        <w:pStyle w:val="Heading3"/>
      </w:pPr>
      <w:bookmarkStart w:id="294" w:name="_Toc355588585"/>
      <w:bookmarkStart w:id="295" w:name="_Toc357761441"/>
      <w:bookmarkStart w:id="296" w:name="_Toc367700249"/>
      <w:r>
        <w:t>Port of Bell Bay</w:t>
      </w:r>
      <w:bookmarkEnd w:id="294"/>
      <w:bookmarkEnd w:id="295"/>
      <w:bookmarkEnd w:id="296"/>
      <w:r w:rsidRPr="00737065">
        <w:t xml:space="preserve"> </w:t>
      </w:r>
    </w:p>
    <w:p w:rsidR="001D1810" w:rsidRPr="00791915" w:rsidRDefault="001D1810" w:rsidP="001D1810">
      <w:r w:rsidRPr="00791915">
        <w:t xml:space="preserve">The Port of Bell Bay currently has virtually no container throughput despite having handled 47,690 </w:t>
      </w:r>
      <w:r>
        <w:t>TEU</w:t>
      </w:r>
      <w:r w:rsidRPr="00791915">
        <w:t xml:space="preserve">’s in 2010/11.  </w:t>
      </w:r>
    </w:p>
    <w:p w:rsidR="001D1810" w:rsidRDefault="001D1810" w:rsidP="001D1810">
      <w:r w:rsidRPr="00791915">
        <w:t>The Tasmanian Government’s 2011 Submission to Infrastructure Australia supports development of a major container terminal at Bell Bay under a project named the Bell Bay Intermodal Expansion at an estimated cost of $150</w:t>
      </w:r>
      <w:r>
        <w:t xml:space="preserve"> </w:t>
      </w:r>
      <w:r w:rsidRPr="00791915">
        <w:t xml:space="preserve">million. </w:t>
      </w:r>
    </w:p>
    <w:p w:rsidR="001D1810" w:rsidRPr="00791915" w:rsidRDefault="001D1810" w:rsidP="001D1810">
      <w:r w:rsidRPr="00791915">
        <w:t xml:space="preserve">According to the submission, the expansion would be developed in two stages with capacity to handle up to 200,000 and 400,000 </w:t>
      </w:r>
      <w:r>
        <w:t>TEU</w:t>
      </w:r>
      <w:r w:rsidRPr="00791915">
        <w:t xml:space="preserve">’s per year by 2020 and 2025 respectively. </w:t>
      </w:r>
    </w:p>
    <w:p w:rsidR="001D1810" w:rsidRPr="00791915" w:rsidRDefault="001D1810" w:rsidP="001D1810">
      <w:r w:rsidRPr="00791915">
        <w:t>There have been studies and reports produced around the viability of a dedicated container terminal to service Tasmania’s relatively small international contain</w:t>
      </w:r>
      <w:r>
        <w:t>er market estimated at around 11</w:t>
      </w:r>
      <w:r w:rsidRPr="00791915">
        <w:t>% of ov</w:t>
      </w:r>
      <w:r>
        <w:t>erall throughput or currently 48</w:t>
      </w:r>
      <w:r w:rsidRPr="00791915">
        <w:t xml:space="preserve">,000 </w:t>
      </w:r>
      <w:r>
        <w:t>TEU</w:t>
      </w:r>
      <w:r w:rsidRPr="00791915">
        <w:t xml:space="preserve">’s per year. </w:t>
      </w:r>
    </w:p>
    <w:p w:rsidR="001D1810" w:rsidRPr="00791915" w:rsidRDefault="001D1810" w:rsidP="001D1810">
      <w:pPr>
        <w:ind w:right="-64"/>
        <w:jc w:val="left"/>
      </w:pPr>
      <w:r w:rsidRPr="00791915">
        <w:t>These reports include:</w:t>
      </w:r>
    </w:p>
    <w:p w:rsidR="001D1810" w:rsidRDefault="001D1810" w:rsidP="001D1810">
      <w:pPr>
        <w:pStyle w:val="ListParagraph"/>
        <w:numPr>
          <w:ilvl w:val="0"/>
          <w:numId w:val="17"/>
        </w:numPr>
        <w:spacing w:line="240" w:lineRule="auto"/>
        <w:ind w:left="357" w:right="-62" w:hanging="357"/>
        <w:contextualSpacing w:val="0"/>
      </w:pPr>
      <w:r w:rsidRPr="00791915">
        <w:t>Containerised freight Specialisation at the Port of Bell Bay: A cost benefit analysis by MMC Link dated September 2012.</w:t>
      </w:r>
    </w:p>
    <w:p w:rsidR="001D1810" w:rsidRDefault="001D1810" w:rsidP="001D1810">
      <w:pPr>
        <w:pStyle w:val="ListParagraph"/>
        <w:numPr>
          <w:ilvl w:val="0"/>
          <w:numId w:val="17"/>
        </w:numPr>
        <w:spacing w:line="240" w:lineRule="auto"/>
        <w:ind w:right="-64"/>
        <w:contextualSpacing w:val="0"/>
      </w:pPr>
      <w:r w:rsidRPr="00791915">
        <w:t xml:space="preserve">International Container </w:t>
      </w:r>
      <w:r>
        <w:t>Shipping</w:t>
      </w:r>
      <w:r w:rsidRPr="00791915">
        <w:t xml:space="preserve"> Service viability for Tasmania by GPS Logistics for DIER dated February 2013. </w:t>
      </w:r>
    </w:p>
    <w:p w:rsidR="001D1810" w:rsidRDefault="001D1810" w:rsidP="001D1810">
      <w:pPr>
        <w:pStyle w:val="ListParagraph"/>
        <w:numPr>
          <w:ilvl w:val="0"/>
          <w:numId w:val="17"/>
        </w:numPr>
        <w:spacing w:line="240" w:lineRule="auto"/>
        <w:ind w:right="-64"/>
        <w:contextualSpacing w:val="0"/>
      </w:pPr>
      <w:r w:rsidRPr="00791915">
        <w:t>Report for Tas</w:t>
      </w:r>
      <w:r>
        <w:t>P</w:t>
      </w:r>
      <w:r w:rsidRPr="00791915">
        <w:t>orts Bell Bay Intermodal Expansion by GHD for Tas</w:t>
      </w:r>
      <w:r>
        <w:t>P</w:t>
      </w:r>
      <w:r w:rsidRPr="00791915">
        <w:t>orts dated December 2010</w:t>
      </w:r>
      <w:r>
        <w:t xml:space="preserve"> (produced specifically to assess the development of a container port at Bell Bay). </w:t>
      </w:r>
      <w:r w:rsidRPr="00791915">
        <w:t xml:space="preserve">The report contained a concept drawing that describes key features of the proposed development including the following: </w:t>
      </w:r>
    </w:p>
    <w:p w:rsidR="001D1810" w:rsidRPr="00791915" w:rsidRDefault="001D1810" w:rsidP="001D1810">
      <w:pPr>
        <w:pStyle w:val="Bullet1"/>
        <w:numPr>
          <w:ilvl w:val="0"/>
          <w:numId w:val="5"/>
        </w:numPr>
        <w:spacing w:after="60"/>
        <w:ind w:left="709" w:hanging="283"/>
      </w:pPr>
      <w:r w:rsidRPr="00791915">
        <w:t>Extend 200 metre of existing wharf (berth 5) and construct 470 metres of new wharf to achieve an overall length of 670 metres</w:t>
      </w:r>
      <w:r>
        <w:t>.</w:t>
      </w:r>
    </w:p>
    <w:p w:rsidR="001D1810" w:rsidRPr="00791915" w:rsidRDefault="001D1810" w:rsidP="001D1810">
      <w:pPr>
        <w:pStyle w:val="Bullet1"/>
        <w:numPr>
          <w:ilvl w:val="0"/>
          <w:numId w:val="5"/>
        </w:numPr>
        <w:spacing w:after="60"/>
        <w:ind w:left="709" w:hanging="283"/>
      </w:pPr>
      <w:r w:rsidRPr="00791915">
        <w:t>Demolish the existing multipurpose and woodchip wharf (berth 6).</w:t>
      </w:r>
    </w:p>
    <w:p w:rsidR="001D1810" w:rsidRDefault="001D1810" w:rsidP="001D1810">
      <w:pPr>
        <w:pStyle w:val="Bullet1"/>
        <w:numPr>
          <w:ilvl w:val="0"/>
          <w:numId w:val="5"/>
        </w:numPr>
        <w:spacing w:after="60"/>
        <w:ind w:left="709" w:hanging="283"/>
      </w:pPr>
      <w:r w:rsidRPr="00791915">
        <w:t xml:space="preserve">Reclaim 8.3 hectares of land and develop an overall terminal area of 17 hectares. </w:t>
      </w:r>
    </w:p>
    <w:p w:rsidR="001D1810" w:rsidRDefault="001D1810" w:rsidP="001D1810">
      <w:pPr>
        <w:pStyle w:val="Bullet1"/>
        <w:numPr>
          <w:ilvl w:val="0"/>
          <w:numId w:val="5"/>
        </w:numPr>
        <w:spacing w:after="60"/>
        <w:ind w:left="709" w:hanging="283"/>
      </w:pPr>
      <w:r w:rsidRPr="00791915">
        <w:t>Provide 1 additional portainer crane in addition to the 1 existing</w:t>
      </w:r>
      <w:r>
        <w:t>.</w:t>
      </w:r>
      <w:r w:rsidRPr="00791915">
        <w:t xml:space="preserve">    </w:t>
      </w:r>
    </w:p>
    <w:p w:rsidR="001D1810" w:rsidRDefault="001D1810" w:rsidP="001D1810">
      <w:pPr>
        <w:spacing w:line="240" w:lineRule="auto"/>
        <w:ind w:right="-62"/>
      </w:pPr>
    </w:p>
    <w:p w:rsidR="001D1810" w:rsidRDefault="001D1810" w:rsidP="001D1810">
      <w:pPr>
        <w:ind w:right="-64"/>
      </w:pPr>
      <w:r w:rsidRPr="00791915">
        <w:t xml:space="preserve">Observations and comments in relation to the proposed development include the following: </w:t>
      </w:r>
    </w:p>
    <w:tbl>
      <w:tblPr>
        <w:tblStyle w:val="Style3"/>
        <w:tblW w:w="0" w:type="auto"/>
        <w:tblBorders>
          <w:left w:val="none" w:sz="0" w:space="0" w:color="auto"/>
          <w:right w:val="none" w:sz="0" w:space="0" w:color="auto"/>
          <w:insideV w:val="none" w:sz="0" w:space="0" w:color="auto"/>
        </w:tblBorders>
        <w:tblLook w:val="0400" w:firstRow="0" w:lastRow="0" w:firstColumn="0" w:lastColumn="0" w:noHBand="0" w:noVBand="1"/>
      </w:tblPr>
      <w:tblGrid>
        <w:gridCol w:w="4786"/>
        <w:gridCol w:w="4501"/>
      </w:tblGrid>
      <w:tr w:rsidR="001D1810" w:rsidRPr="00D75FE8" w:rsidTr="008B1A70">
        <w:trPr>
          <w:cnfStyle w:val="000000010000" w:firstRow="0" w:lastRow="0" w:firstColumn="0" w:lastColumn="0" w:oddVBand="0" w:evenVBand="0" w:oddHBand="0" w:evenHBand="1" w:firstRowFirstColumn="0" w:firstRowLastColumn="0" w:lastRowFirstColumn="0" w:lastRowLastColumn="0"/>
          <w:trHeight w:val="513"/>
          <w:tblHeader/>
        </w:trPr>
        <w:tc>
          <w:tcPr>
            <w:tcW w:w="4786" w:type="dxa"/>
            <w:shd w:val="clear" w:color="auto" w:fill="EFF0EF" w:themeFill="accent4"/>
            <w:vAlign w:val="center"/>
          </w:tcPr>
          <w:p w:rsidR="001D1810" w:rsidRDefault="001D1810" w:rsidP="0057495B">
            <w:pPr>
              <w:pStyle w:val="ListParagraph"/>
              <w:spacing w:before="0" w:after="0"/>
              <w:ind w:left="0" w:right="-62"/>
              <w:rPr>
                <w:b/>
              </w:rPr>
            </w:pPr>
            <w:r w:rsidRPr="00F91EAD">
              <w:rPr>
                <w:b/>
              </w:rPr>
              <w:t>Observation</w:t>
            </w:r>
          </w:p>
        </w:tc>
        <w:tc>
          <w:tcPr>
            <w:tcW w:w="4501" w:type="dxa"/>
            <w:shd w:val="clear" w:color="auto" w:fill="auto"/>
            <w:vAlign w:val="center"/>
          </w:tcPr>
          <w:p w:rsidR="001D1810" w:rsidRDefault="001D1810" w:rsidP="0057495B">
            <w:pPr>
              <w:spacing w:before="0" w:after="0"/>
              <w:ind w:right="-62"/>
              <w:rPr>
                <w:b/>
              </w:rPr>
            </w:pPr>
            <w:r w:rsidRPr="00F91EAD">
              <w:rPr>
                <w:b/>
              </w:rPr>
              <w:t>Comment</w:t>
            </w:r>
          </w:p>
        </w:tc>
      </w:tr>
      <w:tr w:rsidR="001D1810" w:rsidRPr="00D75FE8" w:rsidTr="0057495B">
        <w:tc>
          <w:tcPr>
            <w:tcW w:w="4786" w:type="dxa"/>
            <w:shd w:val="clear" w:color="auto" w:fill="EFF0EF" w:themeFill="accent4"/>
          </w:tcPr>
          <w:p w:rsidR="001D1810" w:rsidRPr="00CB7221" w:rsidRDefault="001D1810" w:rsidP="0057495B">
            <w:pPr>
              <w:pStyle w:val="Tables"/>
            </w:pPr>
            <w:r w:rsidRPr="001D5217">
              <w:t>Typically an efficient container terminal yard layout should be rectangular in shape with an upland width of around 500 metres, parallel to the berth face</w:t>
            </w:r>
            <w:r>
              <w:t>.</w:t>
            </w:r>
          </w:p>
        </w:tc>
        <w:tc>
          <w:tcPr>
            <w:tcW w:w="4501" w:type="dxa"/>
            <w:shd w:val="clear" w:color="auto" w:fill="auto"/>
          </w:tcPr>
          <w:p w:rsidR="001D1810" w:rsidRDefault="001D1810" w:rsidP="0057495B">
            <w:pPr>
              <w:pStyle w:val="Tables"/>
            </w:pPr>
            <w:r w:rsidRPr="00791915">
              <w:t>A steep incline or ridge to the rear of the proposed Bell Bay facility prevents expansion inland or the ability to square-up the terminal. Hence, the proposed yard layout is an irregular and elongated shape that increases travel distance and reduces efficiency</w:t>
            </w:r>
            <w:r>
              <w:t>.</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Pr>
        <w:tc>
          <w:tcPr>
            <w:tcW w:w="4786" w:type="dxa"/>
            <w:shd w:val="clear" w:color="auto" w:fill="EFF0EF" w:themeFill="accent4"/>
          </w:tcPr>
          <w:p w:rsidR="001D1810" w:rsidRPr="00CB7221" w:rsidRDefault="001D1810" w:rsidP="0057495B">
            <w:pPr>
              <w:pStyle w:val="Tables"/>
            </w:pPr>
            <w:r w:rsidRPr="001D5217">
              <w:t>The efficiency of a yard is dependent on the ability to layout rows of containers in a dense and uniform arrangement.</w:t>
            </w:r>
          </w:p>
        </w:tc>
        <w:tc>
          <w:tcPr>
            <w:tcW w:w="4501" w:type="dxa"/>
            <w:shd w:val="clear" w:color="auto" w:fill="auto"/>
          </w:tcPr>
          <w:p w:rsidR="001D1810" w:rsidRPr="00791915" w:rsidRDefault="001D1810" w:rsidP="0057495B">
            <w:pPr>
              <w:pStyle w:val="Tables"/>
            </w:pPr>
            <w:r w:rsidRPr="00791915">
              <w:t>The irregular shape of the yard would introduce “dead pockets” of space where rows of containers are truncated resulting an inefficient layout and wasted opportunity for operations.</w:t>
            </w:r>
          </w:p>
        </w:tc>
      </w:tr>
      <w:tr w:rsidR="001D1810" w:rsidRPr="00D75FE8" w:rsidTr="008B1A70">
        <w:trPr>
          <w:trHeight w:val="1161"/>
        </w:trPr>
        <w:tc>
          <w:tcPr>
            <w:tcW w:w="4786" w:type="dxa"/>
            <w:shd w:val="clear" w:color="auto" w:fill="EFF0EF" w:themeFill="accent4"/>
          </w:tcPr>
          <w:p w:rsidR="001D1810" w:rsidRPr="00DF7152" w:rsidRDefault="001D1810" w:rsidP="0057495B">
            <w:pPr>
              <w:pStyle w:val="Tables"/>
            </w:pPr>
            <w:r w:rsidRPr="00DF7152">
              <w:t>A proposed wood chip berth is shown located closest to the proposed new container stacking area, with the container berth(s) located further away from the storage yard.</w:t>
            </w:r>
          </w:p>
        </w:tc>
        <w:tc>
          <w:tcPr>
            <w:tcW w:w="4501" w:type="dxa"/>
            <w:shd w:val="clear" w:color="auto" w:fill="auto"/>
          </w:tcPr>
          <w:p w:rsidR="001D1810" w:rsidRPr="00791915" w:rsidRDefault="001D1810" w:rsidP="0057495B">
            <w:pPr>
              <w:pStyle w:val="Tables"/>
            </w:pPr>
            <w:r w:rsidRPr="00FC39C2">
              <w:t>This berth layout is undesirable and further increases the travel distances in an already inefficient yard.</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Pr>
        <w:tc>
          <w:tcPr>
            <w:tcW w:w="4786" w:type="dxa"/>
            <w:shd w:val="clear" w:color="auto" w:fill="EFF0EF" w:themeFill="accent4"/>
          </w:tcPr>
          <w:p w:rsidR="001D1810" w:rsidRPr="00DF7152" w:rsidRDefault="001D1810" w:rsidP="0057495B">
            <w:pPr>
              <w:pStyle w:val="Tables"/>
            </w:pPr>
            <w:r w:rsidRPr="00DF7152">
              <w:t>A single berth should measure around 350 metres to accommodate a modern container vessel. Therefore an overall length of 670 metres would normally accommodate two large container vessels</w:t>
            </w:r>
            <w:r>
              <w:t>.</w:t>
            </w:r>
          </w:p>
        </w:tc>
        <w:tc>
          <w:tcPr>
            <w:tcW w:w="4501" w:type="dxa"/>
            <w:shd w:val="clear" w:color="auto" w:fill="auto"/>
          </w:tcPr>
          <w:p w:rsidR="001D1810" w:rsidRPr="00FC39C2" w:rsidRDefault="001D1810" w:rsidP="0057495B">
            <w:pPr>
              <w:pStyle w:val="Tables"/>
            </w:pPr>
            <w:r>
              <w:t>T</w:t>
            </w:r>
            <w:r w:rsidRPr="00FC39C2">
              <w:t>he location of the woodchip-loader essentially limits the facility to a single berth.</w:t>
            </w:r>
          </w:p>
        </w:tc>
      </w:tr>
      <w:tr w:rsidR="001D1810" w:rsidRPr="00D75FE8" w:rsidTr="0057495B">
        <w:tc>
          <w:tcPr>
            <w:tcW w:w="4786" w:type="dxa"/>
            <w:shd w:val="clear" w:color="auto" w:fill="EFF0EF" w:themeFill="accent4"/>
          </w:tcPr>
          <w:p w:rsidR="001D1810" w:rsidRPr="00DF7152" w:rsidRDefault="001D1810" w:rsidP="0057495B">
            <w:pPr>
              <w:pStyle w:val="Tables"/>
            </w:pPr>
            <w:r w:rsidRPr="00DF7152">
              <w:t>Provision of 1 portainer crane in addition to the existing, single Panamax size gantry crane is grossly inadequate to service modern container vessels.</w:t>
            </w:r>
          </w:p>
        </w:tc>
        <w:tc>
          <w:tcPr>
            <w:tcW w:w="4501" w:type="dxa"/>
            <w:shd w:val="clear" w:color="auto" w:fill="auto"/>
          </w:tcPr>
          <w:p w:rsidR="001D1810" w:rsidRDefault="001D1810" w:rsidP="0057495B">
            <w:pPr>
              <w:pStyle w:val="Tables"/>
            </w:pPr>
            <w:r w:rsidRPr="00FC39C2">
              <w:t xml:space="preserve">Typically, a single and dual berth facility would require 4 and 7 portainer cranes respectively to achieve internationally acceptable vessel-to-shore loading rates.    </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Pr>
        <w:tc>
          <w:tcPr>
            <w:tcW w:w="4786" w:type="dxa"/>
            <w:shd w:val="clear" w:color="auto" w:fill="EFF0EF" w:themeFill="accent4"/>
          </w:tcPr>
          <w:p w:rsidR="001D1810" w:rsidRPr="00DF7152" w:rsidRDefault="001D1810" w:rsidP="0057495B">
            <w:pPr>
              <w:pStyle w:val="Tables"/>
            </w:pPr>
            <w:r w:rsidRPr="00DF7152">
              <w:t>The proposed layout indicates that existing wood chip swing-conveyor remains in operation over the access road to the new container terminal. The drawing does not indicate if the conveyor needs to be raised higher.</w:t>
            </w:r>
          </w:p>
        </w:tc>
        <w:tc>
          <w:tcPr>
            <w:tcW w:w="4501" w:type="dxa"/>
            <w:shd w:val="clear" w:color="auto" w:fill="auto"/>
          </w:tcPr>
          <w:p w:rsidR="001D1810" w:rsidRPr="00FC39C2" w:rsidRDefault="001D1810" w:rsidP="0057495B">
            <w:pPr>
              <w:pStyle w:val="Tables"/>
            </w:pPr>
            <w:r w:rsidRPr="00FC39C2">
              <w:t>Containers could be stacked 3 to 6 high depending on the mode of operation. The container handling equipment is higher again so there would be serious disruption to operations if the conveyor obstructs travel routes.</w:t>
            </w:r>
          </w:p>
        </w:tc>
      </w:tr>
      <w:tr w:rsidR="001D1810" w:rsidRPr="00D75FE8" w:rsidTr="0057495B">
        <w:tc>
          <w:tcPr>
            <w:tcW w:w="4786" w:type="dxa"/>
            <w:shd w:val="clear" w:color="auto" w:fill="EFF0EF" w:themeFill="accent4"/>
          </w:tcPr>
          <w:p w:rsidR="001D1810" w:rsidRPr="00DF7152" w:rsidRDefault="001D1810" w:rsidP="0057495B">
            <w:pPr>
              <w:pStyle w:val="Tables"/>
            </w:pPr>
            <w:r w:rsidRPr="00DF7152">
              <w:t>Modern container terminals require heavy duty pavements of depth from 750 mm to 1 metre to withstand the punishing wheel loads and repetitions associated with container handling equipment.</w:t>
            </w:r>
          </w:p>
        </w:tc>
        <w:tc>
          <w:tcPr>
            <w:tcW w:w="4501" w:type="dxa"/>
            <w:shd w:val="clear" w:color="auto" w:fill="auto"/>
          </w:tcPr>
          <w:p w:rsidR="001D1810" w:rsidRPr="00FC39C2" w:rsidRDefault="001D1810" w:rsidP="0057495B">
            <w:pPr>
              <w:pStyle w:val="Tables"/>
            </w:pPr>
            <w:r w:rsidRPr="00FC39C2">
              <w:t>Assumedly the estimated cost includes provision for the removal and reinstatement of heavy duty across the entire terminal. The pavement profiles would also have to be graded both longitudinally and transversely to suit the type of equipment and alignment of the proposed container stacks.</w:t>
            </w:r>
          </w:p>
        </w:tc>
      </w:tr>
      <w:tr w:rsidR="001D1810" w:rsidRPr="00D75FE8" w:rsidTr="0057495B">
        <w:trPr>
          <w:cnfStyle w:val="000000010000" w:firstRow="0" w:lastRow="0" w:firstColumn="0" w:lastColumn="0" w:oddVBand="0" w:evenVBand="0" w:oddHBand="0" w:evenHBand="1" w:firstRowFirstColumn="0" w:firstRowLastColumn="0" w:lastRowFirstColumn="0" w:lastRowLastColumn="0"/>
        </w:trPr>
        <w:tc>
          <w:tcPr>
            <w:tcW w:w="4786" w:type="dxa"/>
            <w:shd w:val="clear" w:color="auto" w:fill="EFF0EF" w:themeFill="accent4"/>
          </w:tcPr>
          <w:p w:rsidR="001D1810" w:rsidRPr="00DF7152" w:rsidRDefault="001D1810" w:rsidP="0057495B">
            <w:pPr>
              <w:pStyle w:val="Tables"/>
            </w:pPr>
            <w:r w:rsidRPr="00DF7152">
              <w:t>The existing water depth along the proposed berths ranges from 10 to 12 metres. The size of container vessels has increased dramatically over the past 10 years when Panamax size vessels carried 3</w:t>
            </w:r>
            <w:r>
              <w:t>,</w:t>
            </w:r>
            <w:r w:rsidRPr="00DF7152">
              <w:t xml:space="preserve">000 TEU’s with a draft of around 11 metres. Recent developments at Port Botany, Sydney and </w:t>
            </w:r>
            <w:r w:rsidR="007D59CC">
              <w:t>PoM</w:t>
            </w:r>
            <w:r w:rsidRPr="00DF7152">
              <w:t xml:space="preserve"> have included dredging to -16.5 metres and -14.6 metres respectively to cater for container vessels capable of carrying up to 8,000 TEU’s. The largest container vessels to visit Australia to date carry around 6,000 TEU’s with a draft of 14 metres. Conceivably by 2025, these are the size of container vessels that will commonly service Australia from Asia.</w:t>
            </w:r>
          </w:p>
        </w:tc>
        <w:tc>
          <w:tcPr>
            <w:tcW w:w="4501" w:type="dxa"/>
            <w:shd w:val="clear" w:color="auto" w:fill="auto"/>
          </w:tcPr>
          <w:p w:rsidR="001D1810" w:rsidRPr="00FC39C2" w:rsidRDefault="001D1810" w:rsidP="0057495B">
            <w:pPr>
              <w:pStyle w:val="Tables"/>
            </w:pPr>
            <w:r w:rsidRPr="00612C46">
              <w:t xml:space="preserve">It is unlikely that there will be sufficient container volumes to attract a carrier with a dedicated international service </w:t>
            </w:r>
            <w:r>
              <w:t xml:space="preserve">that is </w:t>
            </w:r>
            <w:r w:rsidRPr="00612C46">
              <w:t>tailored to the existing navigation constraints and water depth at Bell Bay port. Therefore, to attract a carrier, dredging may be required to deepen the berth to more than 14 metres which could prove prohibitively expensive, especially if rock is encountered.</w:t>
            </w:r>
          </w:p>
        </w:tc>
      </w:tr>
      <w:tr w:rsidR="001D1810" w:rsidRPr="00D75FE8" w:rsidTr="0057495B">
        <w:tc>
          <w:tcPr>
            <w:tcW w:w="4786" w:type="dxa"/>
            <w:shd w:val="clear" w:color="auto" w:fill="EFF0EF" w:themeFill="accent4"/>
          </w:tcPr>
          <w:p w:rsidR="001D1810" w:rsidRPr="00DF7152" w:rsidRDefault="001D1810" w:rsidP="0057495B">
            <w:pPr>
              <w:pStyle w:val="Tables"/>
            </w:pPr>
            <w:r w:rsidRPr="00DF7152">
              <w:t>The Tasmanian Government’s November 2011 submission to Infrastructure Australia describes expansion of Bell Bay in two stages to cater for 200,000 and 400,000 TEU per year by 2020 and 2025 respectively. There is no mention of the mode for operating the container terminal. A two stage development may justify a reach stacker and mobile harbour crane operation initially transitioning to a more rigid and expensive straddle carrier (SC) and portainer crane operation in future.</w:t>
            </w:r>
          </w:p>
        </w:tc>
        <w:tc>
          <w:tcPr>
            <w:tcW w:w="4501" w:type="dxa"/>
            <w:shd w:val="clear" w:color="auto" w:fill="auto"/>
          </w:tcPr>
          <w:p w:rsidR="001D1810" w:rsidRPr="00612C46" w:rsidRDefault="001D1810" w:rsidP="0057495B">
            <w:pPr>
              <w:pStyle w:val="Tables"/>
            </w:pPr>
            <w:r w:rsidRPr="00612C46">
              <w:t xml:space="preserve">Given that the proposed terminal area is 17 hectares, this translates to around 12,000 and 24,000 TEU per hectare per year for a reach stacker and SC operation respectively, which falls comfortably within the performance thresholds discussed in </w:t>
            </w:r>
            <w:r>
              <w:t xml:space="preserve">Section </w:t>
            </w:r>
            <w:r w:rsidR="00CA7023">
              <w:fldChar w:fldCharType="begin"/>
            </w:r>
            <w:r>
              <w:instrText xml:space="preserve"> REF _Ref363225315 \r \h </w:instrText>
            </w:r>
            <w:r w:rsidR="00CA7023">
              <w:fldChar w:fldCharType="separate"/>
            </w:r>
            <w:r w:rsidR="00FF5EB2">
              <w:t>5.5</w:t>
            </w:r>
            <w:r w:rsidR="00CA7023">
              <w:fldChar w:fldCharType="end"/>
            </w:r>
            <w:r w:rsidRPr="00612C46">
              <w:t>. This relative “comfort” would also compensate for the inherent inefficiency associated with the shape of the yard and distance from the wharf.</w:t>
            </w:r>
          </w:p>
        </w:tc>
      </w:tr>
      <w:tr w:rsidR="001D1810" w:rsidRPr="00D75FE8" w:rsidTr="008B1A70">
        <w:trPr>
          <w:cnfStyle w:val="000000010000" w:firstRow="0" w:lastRow="0" w:firstColumn="0" w:lastColumn="0" w:oddVBand="0" w:evenVBand="0" w:oddHBand="0" w:evenHBand="1" w:firstRowFirstColumn="0" w:firstRowLastColumn="0" w:lastRowFirstColumn="0" w:lastRowLastColumn="0"/>
          <w:trHeight w:val="620"/>
        </w:trPr>
        <w:tc>
          <w:tcPr>
            <w:tcW w:w="4786" w:type="dxa"/>
            <w:shd w:val="clear" w:color="auto" w:fill="EFF0EF" w:themeFill="accent4"/>
          </w:tcPr>
          <w:p w:rsidR="001D1810" w:rsidRPr="00DF7152" w:rsidRDefault="001D1810" w:rsidP="0057495B">
            <w:pPr>
              <w:pStyle w:val="Tables"/>
            </w:pPr>
            <w:r w:rsidRPr="00DF7152">
              <w:t>The concept plan refers to one existing and one proposed portainer crane. As a minimum a modern container berth would require four super-post-panama portainer cranes working simultaneously to satisfy a carrier and turnaround a 6</w:t>
            </w:r>
            <w:r>
              <w:t>,</w:t>
            </w:r>
            <w:r w:rsidRPr="00DF7152">
              <w:t>000 TEU container vessel in an internationally acceptable timeframe.</w:t>
            </w:r>
          </w:p>
        </w:tc>
        <w:tc>
          <w:tcPr>
            <w:tcW w:w="4501" w:type="dxa"/>
            <w:shd w:val="clear" w:color="auto" w:fill="auto"/>
          </w:tcPr>
          <w:p w:rsidR="001D1810" w:rsidRPr="00612C46" w:rsidRDefault="001D1810" w:rsidP="0057495B">
            <w:pPr>
              <w:pStyle w:val="Tables"/>
            </w:pPr>
            <w:r w:rsidRPr="00612C46">
              <w:t>The rail gauge for such cranes is 30 to 35 metres which would exceed the width of the proposed wharf. The estimated cost to provide say 4 portainer cranes, 16 SC’s, 2 reach-stackers, 4 tractor-trailers and other container handling equipment required to cater for a 400,000 TEU facility could be i</w:t>
            </w:r>
            <w:r>
              <w:t>n the order of $80 million.</w:t>
            </w:r>
          </w:p>
        </w:tc>
      </w:tr>
      <w:tr w:rsidR="001D1810" w:rsidRPr="00D75FE8" w:rsidTr="0057495B">
        <w:tc>
          <w:tcPr>
            <w:tcW w:w="4786" w:type="dxa"/>
            <w:shd w:val="clear" w:color="auto" w:fill="EFF0EF" w:themeFill="accent4"/>
          </w:tcPr>
          <w:p w:rsidR="001D1810" w:rsidRPr="00DF7152" w:rsidRDefault="001D1810" w:rsidP="0057495B">
            <w:pPr>
              <w:pStyle w:val="Tables"/>
            </w:pPr>
            <w:r w:rsidRPr="00DF7152">
              <w:t>The estimated cost of the development is $150 million which seems low for a modern container terminal given the amount of reclamation, wharf construction, demolition, refurbishment of the yard and ancillary buildings required.</w:t>
            </w:r>
          </w:p>
        </w:tc>
        <w:tc>
          <w:tcPr>
            <w:tcW w:w="4501" w:type="dxa"/>
            <w:shd w:val="clear" w:color="auto" w:fill="auto"/>
          </w:tcPr>
          <w:p w:rsidR="001D1810" w:rsidRPr="00612C46" w:rsidRDefault="001D1810" w:rsidP="0057495B">
            <w:pPr>
              <w:pStyle w:val="Tables"/>
            </w:pPr>
            <w:r w:rsidRPr="00612C46">
              <w:t>Based on broad assumptions and 40% contingency together with knowledge and experience in the construction of marine infrastructure and container terminals, Aurecon estimates that the cost could be more than double the existing estimate which excludes provision f</w:t>
            </w:r>
            <w:r w:rsidR="00EB61EF">
              <w:t>or container handling equipment mentioned above.</w:t>
            </w:r>
          </w:p>
        </w:tc>
      </w:tr>
    </w:tbl>
    <w:p w:rsidR="001D1810" w:rsidRPr="00791915" w:rsidRDefault="001D1810" w:rsidP="001D1810">
      <w:pPr>
        <w:ind w:right="-64"/>
        <w:jc w:val="left"/>
      </w:pPr>
    </w:p>
    <w:p w:rsidR="001D1810" w:rsidRDefault="00D75D2B" w:rsidP="001D1810">
      <w:pPr>
        <w:keepNext/>
        <w:jc w:val="center"/>
      </w:pPr>
      <w:r>
        <w:rPr>
          <w:rFonts w:asciiTheme="minorHAnsi" w:hAnsiTheme="minorHAnsi" w:cstheme="minorHAnsi"/>
          <w:noProof/>
          <w:sz w:val="22"/>
          <w:szCs w:val="22"/>
          <w:lang w:val="en-AU" w:eastAsia="en-AU"/>
        </w:rPr>
        <mc:AlternateContent>
          <mc:Choice Requires="wps">
            <w:drawing>
              <wp:anchor distT="0" distB="0" distL="114300" distR="114300" simplePos="0" relativeHeight="251667456" behindDoc="0" locked="0" layoutInCell="1" allowOverlap="1">
                <wp:simplePos x="0" y="0"/>
                <wp:positionH relativeFrom="column">
                  <wp:posOffset>4318635</wp:posOffset>
                </wp:positionH>
                <wp:positionV relativeFrom="paragraph">
                  <wp:posOffset>2799080</wp:posOffset>
                </wp:positionV>
                <wp:extent cx="836930" cy="274955"/>
                <wp:effectExtent l="0" t="57150" r="0" b="679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40678">
                          <a:off x="0" y="0"/>
                          <a:ext cx="836930"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25FA" w:rsidRPr="00BC18E0" w:rsidRDefault="003925FA" w:rsidP="001D1810">
                            <w:pPr>
                              <w:jc w:val="center"/>
                              <w:rPr>
                                <w:color w:val="FFFFFF" w:themeColor="background1"/>
                                <w:lang w:val="en-AU"/>
                              </w:rPr>
                            </w:pPr>
                            <w:r w:rsidRPr="00BC18E0">
                              <w:rPr>
                                <w:color w:val="FFFFFF" w:themeColor="background1"/>
                                <w:lang w:val="en-AU"/>
                              </w:rPr>
                              <w:t xml:space="preserve">Berth </w:t>
                            </w:r>
                            <w:r>
                              <w:rPr>
                                <w:color w:val="FFFFFF" w:themeColor="background1"/>
                                <w:lang w:val="en-AU"/>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left:0;text-align:left;margin-left:340.05pt;margin-top:220.4pt;width:65.9pt;height:21.65pt;rotation:-82938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" filled="f" stroked="f" strokeweight=".5pt">
                <v:path arrowok="t"/>
                <v:textbox>
                  <w:txbxContent>
                    <w:p w:rsidR="003925FA" w:rsidRPr="00BC18E0" w:rsidRDefault="003925FA" w:rsidP="001D1810">
                      <w:pPr>
                        <w:jc w:val="center"/>
                        <w:rPr>
                          <w:color w:val="FFFFFF" w:themeColor="background1"/>
                          <w:lang w:val="en-AU"/>
                        </w:rPr>
                      </w:pPr>
                      <w:r w:rsidRPr="00BC18E0">
                        <w:rPr>
                          <w:color w:val="FFFFFF" w:themeColor="background1"/>
                          <w:lang w:val="en-AU"/>
                        </w:rPr>
                        <w:t xml:space="preserve">Berth </w:t>
                      </w:r>
                      <w:r>
                        <w:rPr>
                          <w:color w:val="FFFFFF" w:themeColor="background1"/>
                          <w:lang w:val="en-AU"/>
                        </w:rPr>
                        <w:t>5</w:t>
                      </w:r>
                    </w:p>
                  </w:txbxContent>
                </v:textbox>
              </v:shape>
            </w:pict>
          </mc:Fallback>
        </mc:AlternateContent>
      </w:r>
      <w:r>
        <w:rPr>
          <w:rFonts w:asciiTheme="minorHAnsi" w:hAnsiTheme="minorHAnsi" w:cstheme="minorHAnsi"/>
          <w:noProof/>
          <w:sz w:val="22"/>
          <w:szCs w:val="22"/>
          <w:lang w:val="en-AU" w:eastAsia="en-AU"/>
        </w:rPr>
        <mc:AlternateContent>
          <mc:Choice Requires="wps">
            <w:drawing>
              <wp:anchor distT="0" distB="0" distL="114300" distR="114300" simplePos="0" relativeHeight="251666432" behindDoc="0" locked="0" layoutInCell="1" allowOverlap="1">
                <wp:simplePos x="0" y="0"/>
                <wp:positionH relativeFrom="column">
                  <wp:posOffset>2830830</wp:posOffset>
                </wp:positionH>
                <wp:positionV relativeFrom="paragraph">
                  <wp:posOffset>2884170</wp:posOffset>
                </wp:positionV>
                <wp:extent cx="836930" cy="285115"/>
                <wp:effectExtent l="0" t="57150" r="0" b="768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08095">
                          <a:off x="0" y="0"/>
                          <a:ext cx="83693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25FA" w:rsidRPr="00BC18E0" w:rsidRDefault="003925FA" w:rsidP="001D1810">
                            <w:pPr>
                              <w:jc w:val="center"/>
                              <w:rPr>
                                <w:color w:val="FFFFFF" w:themeColor="background1"/>
                                <w:lang w:val="en-AU"/>
                              </w:rPr>
                            </w:pPr>
                            <w:r w:rsidRPr="00BC18E0">
                              <w:rPr>
                                <w:color w:val="FFFFFF" w:themeColor="background1"/>
                                <w:lang w:val="en-AU"/>
                              </w:rPr>
                              <w:t xml:space="preserve">Berth </w:t>
                            </w:r>
                            <w:r>
                              <w:rPr>
                                <w:color w:val="FFFFFF" w:themeColor="background1"/>
                                <w:lang w:val="en-AU"/>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left:0;text-align:left;margin-left:222.9pt;margin-top:227.1pt;width:65.9pt;height:22.45pt;rotation:-86497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" filled="f" stroked="f" strokeweight=".5pt">
                <v:path arrowok="t"/>
                <v:textbox>
                  <w:txbxContent>
                    <w:p w:rsidR="003925FA" w:rsidRPr="00BC18E0" w:rsidRDefault="003925FA" w:rsidP="001D1810">
                      <w:pPr>
                        <w:jc w:val="center"/>
                        <w:rPr>
                          <w:color w:val="FFFFFF" w:themeColor="background1"/>
                          <w:lang w:val="en-AU"/>
                        </w:rPr>
                      </w:pPr>
                      <w:r w:rsidRPr="00BC18E0">
                        <w:rPr>
                          <w:color w:val="FFFFFF" w:themeColor="background1"/>
                          <w:lang w:val="en-AU"/>
                        </w:rPr>
                        <w:t xml:space="preserve">Berth </w:t>
                      </w:r>
                      <w:r>
                        <w:rPr>
                          <w:color w:val="FFFFFF" w:themeColor="background1"/>
                          <w:lang w:val="en-AU"/>
                        </w:rPr>
                        <w:t>6</w:t>
                      </w:r>
                    </w:p>
                  </w:txbxContent>
                </v:textbox>
              </v:shape>
            </w:pict>
          </mc:Fallback>
        </mc:AlternateContent>
      </w:r>
      <w:r w:rsidR="001D1810" w:rsidRPr="00277B71">
        <w:rPr>
          <w:rFonts w:asciiTheme="minorHAnsi" w:hAnsiTheme="minorHAnsi" w:cstheme="minorHAnsi"/>
          <w:noProof/>
          <w:color w:val="FF0000"/>
          <w:sz w:val="22"/>
          <w:szCs w:val="22"/>
          <w:lang w:val="en-AU" w:eastAsia="en-AU"/>
        </w:rPr>
        <w:drawing>
          <wp:inline distT="0" distB="0" distL="0" distR="0">
            <wp:extent cx="5400000" cy="4171888"/>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R-Bell Bay-Aeria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0" cy="4171888"/>
                    </a:xfrm>
                    <a:prstGeom prst="rect">
                      <a:avLst/>
                    </a:prstGeom>
                  </pic:spPr>
                </pic:pic>
              </a:graphicData>
            </a:graphic>
          </wp:inline>
        </w:drawing>
      </w:r>
    </w:p>
    <w:p w:rsidR="001D1810" w:rsidRPr="00E83D17" w:rsidRDefault="001D1810" w:rsidP="001D1810">
      <w:pPr>
        <w:pStyle w:val="Caption"/>
      </w:pPr>
      <w:bookmarkStart w:id="297" w:name="_Toc364151992"/>
      <w:bookmarkStart w:id="298" w:name="_Toc366769141"/>
      <w:r>
        <w:t xml:space="preserve">Figure </w:t>
      </w:r>
      <w:r w:rsidR="00CA7023">
        <w:fldChar w:fldCharType="begin"/>
      </w:r>
      <w:r>
        <w:instrText xml:space="preserve"> SEQ Figure \* ARABIC </w:instrText>
      </w:r>
      <w:r w:rsidR="00CA7023">
        <w:fldChar w:fldCharType="separate"/>
      </w:r>
      <w:r w:rsidR="00FF5EB2">
        <w:rPr>
          <w:noProof/>
        </w:rPr>
        <w:t>6</w:t>
      </w:r>
      <w:r w:rsidR="00CA7023">
        <w:fldChar w:fldCharType="end"/>
      </w:r>
      <w:r>
        <w:t>: Port of Bell Bay Aerial Photo</w:t>
      </w:r>
      <w:bookmarkEnd w:id="297"/>
      <w:bookmarkEnd w:id="298"/>
      <w:r w:rsidR="00A5218B">
        <w:t xml:space="preserve"> (Source: Bing Maps)</w:t>
      </w:r>
    </w:p>
    <w:p w:rsidR="001D1810" w:rsidRDefault="001D1810" w:rsidP="001D1810">
      <w:pPr>
        <w:keepNext/>
        <w:jc w:val="center"/>
      </w:pPr>
      <w:r w:rsidRPr="00277B71">
        <w:rPr>
          <w:rFonts w:asciiTheme="minorHAnsi" w:hAnsiTheme="minorHAnsi" w:cstheme="minorHAnsi"/>
          <w:noProof/>
          <w:color w:val="FF0000"/>
          <w:sz w:val="22"/>
          <w:szCs w:val="22"/>
          <w:lang w:val="en-AU" w:eastAsia="en-AU"/>
        </w:rPr>
        <w:drawing>
          <wp:inline distT="0" distB="0" distL="0" distR="0">
            <wp:extent cx="5400000" cy="53898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R-Bell Ba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00" cy="5389880"/>
                    </a:xfrm>
                    <a:prstGeom prst="rect">
                      <a:avLst/>
                    </a:prstGeom>
                  </pic:spPr>
                </pic:pic>
              </a:graphicData>
            </a:graphic>
          </wp:inline>
        </w:drawing>
      </w:r>
    </w:p>
    <w:p w:rsidR="001D1810" w:rsidRPr="00E83D17" w:rsidRDefault="001D1810" w:rsidP="001D1810">
      <w:pPr>
        <w:pStyle w:val="Caption"/>
      </w:pPr>
      <w:bookmarkStart w:id="299" w:name="_Toc364151993"/>
      <w:bookmarkStart w:id="300" w:name="_Toc366769142"/>
      <w:r w:rsidRPr="00E83D17">
        <w:t xml:space="preserve">Figure </w:t>
      </w:r>
      <w:r w:rsidR="00CA7023" w:rsidRPr="00E83D17">
        <w:fldChar w:fldCharType="begin"/>
      </w:r>
      <w:r w:rsidRPr="00E83D17">
        <w:instrText xml:space="preserve"> SEQ Figure \* ARABIC </w:instrText>
      </w:r>
      <w:r w:rsidR="00CA7023" w:rsidRPr="00E83D17">
        <w:fldChar w:fldCharType="separate"/>
      </w:r>
      <w:r w:rsidR="00FF5EB2">
        <w:rPr>
          <w:noProof/>
        </w:rPr>
        <w:t>7</w:t>
      </w:r>
      <w:r w:rsidR="00CA7023" w:rsidRPr="00E83D17">
        <w:fldChar w:fldCharType="end"/>
      </w:r>
      <w:r w:rsidRPr="00E83D17">
        <w:t>: Port of Bell Bay Maritime chart</w:t>
      </w:r>
      <w:bookmarkEnd w:id="299"/>
      <w:bookmarkEnd w:id="300"/>
    </w:p>
    <w:p w:rsidR="001D1810" w:rsidRDefault="001D1810" w:rsidP="001D1810">
      <w:pPr>
        <w:sectPr w:rsidR="001D1810" w:rsidSect="00FE1136">
          <w:pgSz w:w="11907" w:h="16839" w:code="9"/>
          <w:pgMar w:top="1985" w:right="1418" w:bottom="1134" w:left="1418" w:header="567" w:footer="543" w:gutter="0"/>
          <w:cols w:space="720"/>
          <w:docGrid w:linePitch="360"/>
        </w:sectPr>
      </w:pPr>
    </w:p>
    <w:p w:rsidR="001D1810" w:rsidRDefault="001D1810" w:rsidP="009A1986">
      <w:pPr>
        <w:pStyle w:val="Heading1"/>
      </w:pPr>
      <w:bookmarkStart w:id="301" w:name="_Toc358228810"/>
      <w:bookmarkStart w:id="302" w:name="_Toc358361309"/>
      <w:bookmarkStart w:id="303" w:name="_Toc364154100"/>
      <w:bookmarkStart w:id="304" w:name="_Toc367700250"/>
      <w:r>
        <w:t>Findings</w:t>
      </w:r>
      <w:bookmarkEnd w:id="301"/>
      <w:bookmarkEnd w:id="302"/>
      <w:bookmarkEnd w:id="303"/>
      <w:bookmarkEnd w:id="304"/>
    </w:p>
    <w:p w:rsidR="001D1810" w:rsidRDefault="004A0B52" w:rsidP="001D1810">
      <w:r>
        <w:t>RORO</w:t>
      </w:r>
      <w:r w:rsidR="001D1810">
        <w:t xml:space="preserve"> shipping is a good fit for Bass Strait trade in that is provides an efficient and effective overnight service for a variety of freight including containers, trucks, break bulk and over-dimensional.</w:t>
      </w:r>
    </w:p>
    <w:p w:rsidR="001D1810" w:rsidRDefault="004A0B52" w:rsidP="001D1810">
      <w:r>
        <w:t>RORO</w:t>
      </w:r>
      <w:r w:rsidR="001D1810">
        <w:t xml:space="preserve"> shipping operations are efficient in their stevedoring operations, and achieve similar “lift” rates to container terminals.</w:t>
      </w:r>
    </w:p>
    <w:p w:rsidR="001D1810" w:rsidRDefault="001D1810" w:rsidP="001D1810">
      <w:r>
        <w:t>Bass Strait shipping is more expensive than similar services overseas, but Bass Strait costs are also greater.</w:t>
      </w:r>
    </w:p>
    <w:p w:rsidR="001D1810" w:rsidRDefault="001D1810" w:rsidP="001D1810">
      <w:r>
        <w:t>With incremental investment in port infrastructure and some productivity improvement there is sufficient capacity at Burnie and Devonport to cater for the growth in volume anticipated by the Port of Melbourne until 2025.</w:t>
      </w:r>
      <w:r w:rsidR="004A0B52">
        <w:t xml:space="preserve">  </w:t>
      </w:r>
      <w:r w:rsidR="009C4A0F">
        <w:t xml:space="preserve">It should be noted however that the </w:t>
      </w:r>
      <w:r>
        <w:t xml:space="preserve">growth rates proposed by the Port of Melbourne seem optimistic compared to recent actual growth rates and so capacity at these two berths may take longer to be reached. </w:t>
      </w:r>
    </w:p>
    <w:p w:rsidR="001D1810" w:rsidRDefault="001D1810" w:rsidP="001D1810">
      <w:r>
        <w:t xml:space="preserve">In addition of </w:t>
      </w:r>
      <w:r w:rsidR="004A0B52">
        <w:t>RORO</w:t>
      </w:r>
      <w:r>
        <w:t xml:space="preserve"> assets at Burnie and Devonport there are </w:t>
      </w:r>
      <w:r w:rsidR="004A0B52">
        <w:t>RORO</w:t>
      </w:r>
      <w:r>
        <w:t xml:space="preserve"> assets at Bell Bay (currently not operational) that could further add to Tasmania’s port capacity.  </w:t>
      </w:r>
    </w:p>
    <w:p w:rsidR="001D1810" w:rsidRDefault="001D1810" w:rsidP="001D1810">
      <w:r>
        <w:t xml:space="preserve">Investment in the development of Bell Bay into a 400,000 TEU international container terminal is best made cautiously, in view of the relatively small volumes which would be exported and the likely high cost of such a development. </w:t>
      </w:r>
    </w:p>
    <w:p w:rsidR="001D1810" w:rsidRDefault="001D1810" w:rsidP="001D1810">
      <w:r>
        <w:t>A comparison of the features of ports shows that they key differentiating features between Bell Bay and Burnie are that Bell Bay is the superior port in terms of water depth and that Burnie is best in terms of ocean access.  Devonport is not a candidate to be a container port because of land constraints.</w:t>
      </w:r>
    </w:p>
    <w:p w:rsidR="001D1810" w:rsidRDefault="001D1810" w:rsidP="001D1810">
      <w:r>
        <w:t>The arguments for specialisation of activity at a given port are strongest where they relate to serving their hinterland activities and minimising road freight.  In the immediate term the benefits of specialisation do not seem large.</w:t>
      </w:r>
    </w:p>
    <w:p w:rsidR="008B6FC3" w:rsidRDefault="008B6FC3" w:rsidP="001D1810"/>
    <w:p w:rsidR="002A6C9E" w:rsidRDefault="002A6C9E" w:rsidP="002A6C9E">
      <w:pPr>
        <w:sectPr w:rsidR="002A6C9E" w:rsidSect="00DF3196">
          <w:pgSz w:w="11907" w:h="16839" w:code="9"/>
          <w:pgMar w:top="1985" w:right="1418" w:bottom="1134" w:left="1418" w:header="567" w:footer="543" w:gutter="0"/>
          <w:cols w:space="720"/>
          <w:docGrid w:linePitch="360"/>
        </w:sectPr>
      </w:pPr>
    </w:p>
    <w:bookmarkStart w:id="305" w:name="_Toc367700251"/>
    <w:p w:rsidR="00382856" w:rsidRPr="0010002D" w:rsidRDefault="001474D4" w:rsidP="009A1986">
      <w:pPr>
        <w:pStyle w:val="Heading1"/>
      </w:pPr>
      <w:sdt>
        <w:sdtPr>
          <w:alias w:val="Appendix Heading"/>
          <w:tag w:val="AppendixHeading"/>
          <w:id w:val="-1330672299"/>
          <w:text w:multiLine="1"/>
        </w:sdtPr>
        <w:sdtEndPr/>
        <w:sdtContent>
          <w:r w:rsidR="004014F9">
            <w:rPr>
              <w:lang w:val="en-AU"/>
            </w:rPr>
            <w:t>Appendic</w:t>
          </w:r>
          <w:r w:rsidR="00622A3D">
            <w:rPr>
              <w:lang w:val="en-AU"/>
            </w:rPr>
            <w:t>es</w:t>
          </w:r>
        </w:sdtContent>
      </w:sdt>
      <w:bookmarkEnd w:id="305"/>
    </w:p>
    <w:p w:rsidR="004014F9" w:rsidRDefault="004014F9">
      <w:pPr>
        <w:rPr>
          <w:bCs/>
        </w:rPr>
      </w:pPr>
      <w:bookmarkStart w:id="306" w:name="_Toc358067583"/>
    </w:p>
    <w:tbl>
      <w:tblPr>
        <w:tblStyle w:val="TableGrid"/>
        <w:tblW w:w="488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61E64" w:rsidRPr="0010002D" w:rsidTr="00C10ADA">
        <w:trPr>
          <w:trHeight w:val="3308"/>
        </w:trPr>
        <w:tc>
          <w:tcPr>
            <w:tcW w:w="5000" w:type="pct"/>
          </w:tcPr>
          <w:p w:rsidR="000C6379" w:rsidRPr="0010002D" w:rsidRDefault="000C6379" w:rsidP="000C6379">
            <w:pPr>
              <w:pStyle w:val="PartHeading"/>
            </w:pPr>
            <w:r w:rsidRPr="0010002D">
              <w:t xml:space="preserve">Appendix </w:t>
            </w:r>
            <w:r w:rsidR="001474D4">
              <w:fldChar w:fldCharType="begin"/>
            </w:r>
            <w:r w:rsidR="001474D4">
              <w:instrText xml:space="preserve"> SEQ Appendix\* ALPHABETIC\n  \* MERGEFORMAT </w:instrText>
            </w:r>
            <w:r w:rsidR="001474D4">
              <w:fldChar w:fldCharType="separate"/>
            </w:r>
            <w:r w:rsidR="00FF5EB2">
              <w:rPr>
                <w:noProof/>
              </w:rPr>
              <w:t>A</w:t>
            </w:r>
            <w:r w:rsidR="001474D4">
              <w:rPr>
                <w:noProof/>
              </w:rPr>
              <w:fldChar w:fldCharType="end"/>
            </w:r>
          </w:p>
          <w:bookmarkStart w:id="307" w:name="_Toc367700252"/>
          <w:p w:rsidR="00161E64" w:rsidRPr="0010002D" w:rsidRDefault="001474D4" w:rsidP="008B1A70">
            <w:pPr>
              <w:pStyle w:val="Heading2"/>
              <w:outlineLvl w:val="1"/>
            </w:pPr>
            <w:sdt>
              <w:sdtPr>
                <w:rPr>
                  <w:lang w:val="en-AU"/>
                </w:rPr>
                <w:alias w:val="Appendix Heading"/>
                <w:tag w:val="AppendixHeading"/>
                <w:id w:val="1827010700"/>
                <w:text w:multiLine="1"/>
              </w:sdtPr>
              <w:sdtEndPr/>
              <w:sdtContent>
                <w:r w:rsidR="009C4A0F" w:rsidRPr="000C6379">
                  <w:rPr>
                    <w:lang w:val="en-AU"/>
                  </w:rPr>
                  <w:t>List of Tables</w:t>
                </w:r>
                <w:r w:rsidR="009C4A0F">
                  <w:rPr>
                    <w:lang w:val="en-AU"/>
                  </w:rPr>
                  <w:t xml:space="preserve"> and Figures</w:t>
                </w:r>
              </w:sdtContent>
            </w:sdt>
            <w:bookmarkEnd w:id="307"/>
          </w:p>
        </w:tc>
      </w:tr>
    </w:tbl>
    <w:p w:rsidR="00D97AC4" w:rsidRDefault="00CA7023">
      <w:pPr>
        <w:pStyle w:val="TableofFigures"/>
        <w:rPr>
          <w:rFonts w:eastAsiaTheme="minorEastAsia" w:cstheme="minorBidi"/>
          <w:bCs w:val="0"/>
          <w:noProof/>
          <w:sz w:val="22"/>
          <w:szCs w:val="22"/>
          <w:lang w:eastAsia="en-GB"/>
        </w:rPr>
      </w:pPr>
      <w:r w:rsidRPr="0010002D">
        <w:fldChar w:fldCharType="begin"/>
      </w:r>
      <w:r w:rsidR="00161E64" w:rsidRPr="0010002D">
        <w:instrText xml:space="preserve"> TOC \h \z \c "Table" </w:instrText>
      </w:r>
      <w:r w:rsidRPr="0010002D">
        <w:fldChar w:fldCharType="separate"/>
      </w:r>
      <w:hyperlink w:anchor="_Toc366769118" w:history="1">
        <w:r w:rsidR="00D97AC4" w:rsidRPr="00F271ED">
          <w:rPr>
            <w:rStyle w:val="Hyperlink"/>
            <w:noProof/>
          </w:rPr>
          <w:t>Table 1: TT-Line</w:t>
        </w:r>
        <w:r w:rsidR="00D97AC4">
          <w:rPr>
            <w:noProof/>
            <w:webHidden/>
          </w:rPr>
          <w:tab/>
        </w:r>
        <w:r>
          <w:rPr>
            <w:noProof/>
            <w:webHidden/>
          </w:rPr>
          <w:fldChar w:fldCharType="begin"/>
        </w:r>
        <w:r w:rsidR="00D97AC4">
          <w:rPr>
            <w:noProof/>
            <w:webHidden/>
          </w:rPr>
          <w:instrText xml:space="preserve"> PAGEREF _Toc366769118 \h </w:instrText>
        </w:r>
        <w:r>
          <w:rPr>
            <w:noProof/>
            <w:webHidden/>
          </w:rPr>
        </w:r>
        <w:r>
          <w:rPr>
            <w:noProof/>
            <w:webHidden/>
          </w:rPr>
          <w:fldChar w:fldCharType="separate"/>
        </w:r>
        <w:r w:rsidR="00FF5EB2">
          <w:rPr>
            <w:noProof/>
            <w:webHidden/>
          </w:rPr>
          <w:t>10</w:t>
        </w:r>
        <w:r>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19" w:history="1">
        <w:r w:rsidR="00D97AC4" w:rsidRPr="00F271ED">
          <w:rPr>
            <w:rStyle w:val="Hyperlink"/>
            <w:noProof/>
          </w:rPr>
          <w:t>Table 2: SeaRoad Shipping</w:t>
        </w:r>
        <w:r w:rsidR="00D97AC4">
          <w:rPr>
            <w:noProof/>
            <w:webHidden/>
          </w:rPr>
          <w:tab/>
        </w:r>
        <w:r w:rsidR="00CA7023">
          <w:rPr>
            <w:noProof/>
            <w:webHidden/>
          </w:rPr>
          <w:fldChar w:fldCharType="begin"/>
        </w:r>
        <w:r w:rsidR="00D97AC4">
          <w:rPr>
            <w:noProof/>
            <w:webHidden/>
          </w:rPr>
          <w:instrText xml:space="preserve"> PAGEREF _Toc366769119 \h </w:instrText>
        </w:r>
        <w:r w:rsidR="00CA7023">
          <w:rPr>
            <w:noProof/>
            <w:webHidden/>
          </w:rPr>
        </w:r>
        <w:r w:rsidR="00CA7023">
          <w:rPr>
            <w:noProof/>
            <w:webHidden/>
          </w:rPr>
          <w:fldChar w:fldCharType="separate"/>
        </w:r>
        <w:r w:rsidR="00FF5EB2">
          <w:rPr>
            <w:noProof/>
            <w:webHidden/>
          </w:rPr>
          <w:t>11</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20" w:history="1">
        <w:r w:rsidR="00D97AC4" w:rsidRPr="00F271ED">
          <w:rPr>
            <w:rStyle w:val="Hyperlink"/>
            <w:noProof/>
          </w:rPr>
          <w:t>Table 3: Toll-ANL</w:t>
        </w:r>
        <w:r w:rsidR="00D97AC4">
          <w:rPr>
            <w:noProof/>
            <w:webHidden/>
          </w:rPr>
          <w:tab/>
        </w:r>
        <w:r w:rsidR="00CA7023">
          <w:rPr>
            <w:noProof/>
            <w:webHidden/>
          </w:rPr>
          <w:fldChar w:fldCharType="begin"/>
        </w:r>
        <w:r w:rsidR="00D97AC4">
          <w:rPr>
            <w:noProof/>
            <w:webHidden/>
          </w:rPr>
          <w:instrText xml:space="preserve"> PAGEREF _Toc366769120 \h </w:instrText>
        </w:r>
        <w:r w:rsidR="00CA7023">
          <w:rPr>
            <w:noProof/>
            <w:webHidden/>
          </w:rPr>
        </w:r>
        <w:r w:rsidR="00CA7023">
          <w:rPr>
            <w:noProof/>
            <w:webHidden/>
          </w:rPr>
          <w:fldChar w:fldCharType="separate"/>
        </w:r>
        <w:r w:rsidR="00FF5EB2">
          <w:rPr>
            <w:noProof/>
            <w:webHidden/>
          </w:rPr>
          <w:t>12</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21" w:history="1">
        <w:r w:rsidR="00D97AC4" w:rsidRPr="00F271ED">
          <w:rPr>
            <w:rStyle w:val="Hyperlink"/>
            <w:noProof/>
          </w:rPr>
          <w:t>Table 4: Bass Strait Shipping Cost Impacts</w:t>
        </w:r>
        <w:r w:rsidR="00D97AC4">
          <w:rPr>
            <w:noProof/>
            <w:webHidden/>
          </w:rPr>
          <w:tab/>
        </w:r>
        <w:r w:rsidR="00CA7023">
          <w:rPr>
            <w:noProof/>
            <w:webHidden/>
          </w:rPr>
          <w:fldChar w:fldCharType="begin"/>
        </w:r>
        <w:r w:rsidR="00D97AC4">
          <w:rPr>
            <w:noProof/>
            <w:webHidden/>
          </w:rPr>
          <w:instrText xml:space="preserve"> PAGEREF _Toc366769121 \h </w:instrText>
        </w:r>
        <w:r w:rsidR="00CA7023">
          <w:rPr>
            <w:noProof/>
            <w:webHidden/>
          </w:rPr>
        </w:r>
        <w:r w:rsidR="00CA7023">
          <w:rPr>
            <w:noProof/>
            <w:webHidden/>
          </w:rPr>
          <w:fldChar w:fldCharType="separate"/>
        </w:r>
        <w:r w:rsidR="00FF5EB2">
          <w:rPr>
            <w:noProof/>
            <w:webHidden/>
          </w:rPr>
          <w:t>14</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22" w:history="1">
        <w:r w:rsidR="00D97AC4" w:rsidRPr="00F271ED">
          <w:rPr>
            <w:rStyle w:val="Hyperlink"/>
            <w:noProof/>
          </w:rPr>
          <w:t>Table 5: Comparison of services and rates across the Cook Strait</w:t>
        </w:r>
        <w:r w:rsidR="00D97AC4">
          <w:rPr>
            <w:noProof/>
            <w:webHidden/>
          </w:rPr>
          <w:tab/>
        </w:r>
        <w:r w:rsidR="00CA7023">
          <w:rPr>
            <w:noProof/>
            <w:webHidden/>
          </w:rPr>
          <w:fldChar w:fldCharType="begin"/>
        </w:r>
        <w:r w:rsidR="00D97AC4">
          <w:rPr>
            <w:noProof/>
            <w:webHidden/>
          </w:rPr>
          <w:instrText xml:space="preserve"> PAGEREF _Toc366769122 \h </w:instrText>
        </w:r>
        <w:r w:rsidR="00CA7023">
          <w:rPr>
            <w:noProof/>
            <w:webHidden/>
          </w:rPr>
        </w:r>
        <w:r w:rsidR="00CA7023">
          <w:rPr>
            <w:noProof/>
            <w:webHidden/>
          </w:rPr>
          <w:fldChar w:fldCharType="separate"/>
        </w:r>
        <w:r w:rsidR="00FF5EB2">
          <w:rPr>
            <w:noProof/>
            <w:webHidden/>
          </w:rPr>
          <w:t>15</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23" w:history="1">
        <w:r w:rsidR="00D97AC4" w:rsidRPr="00F271ED">
          <w:rPr>
            <w:rStyle w:val="Hyperlink"/>
            <w:noProof/>
          </w:rPr>
          <w:t>Table 6: RORO Ferry Services – Australia and New Zealand</w:t>
        </w:r>
        <w:r w:rsidR="00D97AC4">
          <w:rPr>
            <w:noProof/>
            <w:webHidden/>
          </w:rPr>
          <w:tab/>
        </w:r>
        <w:r w:rsidR="00CA7023">
          <w:rPr>
            <w:noProof/>
            <w:webHidden/>
          </w:rPr>
          <w:fldChar w:fldCharType="begin"/>
        </w:r>
        <w:r w:rsidR="00D97AC4">
          <w:rPr>
            <w:noProof/>
            <w:webHidden/>
          </w:rPr>
          <w:instrText xml:space="preserve"> PAGEREF _Toc366769123 \h </w:instrText>
        </w:r>
        <w:r w:rsidR="00CA7023">
          <w:rPr>
            <w:noProof/>
            <w:webHidden/>
          </w:rPr>
        </w:r>
        <w:r w:rsidR="00CA7023">
          <w:rPr>
            <w:noProof/>
            <w:webHidden/>
          </w:rPr>
          <w:fldChar w:fldCharType="separate"/>
        </w:r>
        <w:r w:rsidR="00FF5EB2">
          <w:rPr>
            <w:noProof/>
            <w:webHidden/>
          </w:rPr>
          <w:t>15</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24" w:history="1">
        <w:r w:rsidR="00D97AC4" w:rsidRPr="00F271ED">
          <w:rPr>
            <w:rStyle w:val="Hyperlink"/>
            <w:noProof/>
          </w:rPr>
          <w:t>Table 7: Comparison of services and rates across the North Sea</w:t>
        </w:r>
        <w:r w:rsidR="00D97AC4">
          <w:rPr>
            <w:noProof/>
            <w:webHidden/>
          </w:rPr>
          <w:tab/>
        </w:r>
        <w:r w:rsidR="00CA7023">
          <w:rPr>
            <w:noProof/>
            <w:webHidden/>
          </w:rPr>
          <w:fldChar w:fldCharType="begin"/>
        </w:r>
        <w:r w:rsidR="00D97AC4">
          <w:rPr>
            <w:noProof/>
            <w:webHidden/>
          </w:rPr>
          <w:instrText xml:space="preserve"> PAGEREF _Toc366769124 \h </w:instrText>
        </w:r>
        <w:r w:rsidR="00CA7023">
          <w:rPr>
            <w:noProof/>
            <w:webHidden/>
          </w:rPr>
        </w:r>
        <w:r w:rsidR="00CA7023">
          <w:rPr>
            <w:noProof/>
            <w:webHidden/>
          </w:rPr>
          <w:fldChar w:fldCharType="separate"/>
        </w:r>
        <w:r w:rsidR="00FF5EB2">
          <w:rPr>
            <w:noProof/>
            <w:webHidden/>
          </w:rPr>
          <w:t>16</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25" w:history="1">
        <w:r w:rsidR="00D97AC4" w:rsidRPr="00F271ED">
          <w:rPr>
            <w:rStyle w:val="Hyperlink"/>
            <w:noProof/>
          </w:rPr>
          <w:t>Table 8: Sample RORO Immingham Ferry Service Rates</w:t>
        </w:r>
        <w:r w:rsidR="00D97AC4">
          <w:rPr>
            <w:noProof/>
            <w:webHidden/>
          </w:rPr>
          <w:tab/>
        </w:r>
        <w:r w:rsidR="00CA7023">
          <w:rPr>
            <w:noProof/>
            <w:webHidden/>
          </w:rPr>
          <w:fldChar w:fldCharType="begin"/>
        </w:r>
        <w:r w:rsidR="00D97AC4">
          <w:rPr>
            <w:noProof/>
            <w:webHidden/>
          </w:rPr>
          <w:instrText xml:space="preserve"> PAGEREF _Toc366769125 \h </w:instrText>
        </w:r>
        <w:r w:rsidR="00CA7023">
          <w:rPr>
            <w:noProof/>
            <w:webHidden/>
          </w:rPr>
        </w:r>
        <w:r w:rsidR="00CA7023">
          <w:rPr>
            <w:noProof/>
            <w:webHidden/>
          </w:rPr>
          <w:fldChar w:fldCharType="separate"/>
        </w:r>
        <w:r w:rsidR="00FF5EB2">
          <w:rPr>
            <w:noProof/>
            <w:webHidden/>
          </w:rPr>
          <w:t>17</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26" w:history="1">
        <w:r w:rsidR="00D97AC4" w:rsidRPr="00F271ED">
          <w:rPr>
            <w:rStyle w:val="Hyperlink"/>
            <w:noProof/>
          </w:rPr>
          <w:t>Table 9: Consideration of services between Spain and Majorca/Las Palmas</w:t>
        </w:r>
        <w:r w:rsidR="00D97AC4">
          <w:rPr>
            <w:noProof/>
            <w:webHidden/>
          </w:rPr>
          <w:tab/>
        </w:r>
        <w:r w:rsidR="00CA7023">
          <w:rPr>
            <w:noProof/>
            <w:webHidden/>
          </w:rPr>
          <w:fldChar w:fldCharType="begin"/>
        </w:r>
        <w:r w:rsidR="00D97AC4">
          <w:rPr>
            <w:noProof/>
            <w:webHidden/>
          </w:rPr>
          <w:instrText xml:space="preserve"> PAGEREF _Toc366769126 \h </w:instrText>
        </w:r>
        <w:r w:rsidR="00CA7023">
          <w:rPr>
            <w:noProof/>
            <w:webHidden/>
          </w:rPr>
        </w:r>
        <w:r w:rsidR="00CA7023">
          <w:rPr>
            <w:noProof/>
            <w:webHidden/>
          </w:rPr>
          <w:fldChar w:fldCharType="separate"/>
        </w:r>
        <w:r w:rsidR="00FF5EB2">
          <w:rPr>
            <w:noProof/>
            <w:webHidden/>
          </w:rPr>
          <w:t>17</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27" w:history="1">
        <w:r w:rsidR="00D97AC4" w:rsidRPr="00F271ED">
          <w:rPr>
            <w:rStyle w:val="Hyperlink"/>
            <w:noProof/>
          </w:rPr>
          <w:t>Table 10: Annual Volumes Available for a Direct Call Service</w:t>
        </w:r>
        <w:r w:rsidR="00D97AC4">
          <w:rPr>
            <w:noProof/>
            <w:webHidden/>
          </w:rPr>
          <w:tab/>
        </w:r>
        <w:r w:rsidR="00CA7023">
          <w:rPr>
            <w:noProof/>
            <w:webHidden/>
          </w:rPr>
          <w:fldChar w:fldCharType="begin"/>
        </w:r>
        <w:r w:rsidR="00D97AC4">
          <w:rPr>
            <w:noProof/>
            <w:webHidden/>
          </w:rPr>
          <w:instrText xml:space="preserve"> PAGEREF _Toc366769127 \h </w:instrText>
        </w:r>
        <w:r w:rsidR="00CA7023">
          <w:rPr>
            <w:noProof/>
            <w:webHidden/>
          </w:rPr>
        </w:r>
        <w:r w:rsidR="00CA7023">
          <w:rPr>
            <w:noProof/>
            <w:webHidden/>
          </w:rPr>
          <w:fldChar w:fldCharType="separate"/>
        </w:r>
        <w:r w:rsidR="00FF5EB2">
          <w:rPr>
            <w:noProof/>
            <w:webHidden/>
          </w:rPr>
          <w:t>20</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28" w:history="1">
        <w:r w:rsidR="00D97AC4" w:rsidRPr="00F271ED">
          <w:rPr>
            <w:rStyle w:val="Hyperlink"/>
            <w:noProof/>
          </w:rPr>
          <w:t>Table 11: Annual Volumes Expressed as Volumes per Call</w:t>
        </w:r>
        <w:r w:rsidR="00D97AC4">
          <w:rPr>
            <w:noProof/>
            <w:webHidden/>
          </w:rPr>
          <w:tab/>
        </w:r>
        <w:r w:rsidR="00CA7023">
          <w:rPr>
            <w:noProof/>
            <w:webHidden/>
          </w:rPr>
          <w:fldChar w:fldCharType="begin"/>
        </w:r>
        <w:r w:rsidR="00D97AC4">
          <w:rPr>
            <w:noProof/>
            <w:webHidden/>
          </w:rPr>
          <w:instrText xml:space="preserve"> PAGEREF _Toc366769128 \h </w:instrText>
        </w:r>
        <w:r w:rsidR="00CA7023">
          <w:rPr>
            <w:noProof/>
            <w:webHidden/>
          </w:rPr>
        </w:r>
        <w:r w:rsidR="00CA7023">
          <w:rPr>
            <w:noProof/>
            <w:webHidden/>
          </w:rPr>
          <w:fldChar w:fldCharType="separate"/>
        </w:r>
        <w:r w:rsidR="00FF5EB2">
          <w:rPr>
            <w:noProof/>
            <w:webHidden/>
          </w:rPr>
          <w:t>20</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29" w:history="1">
        <w:r w:rsidR="00D97AC4" w:rsidRPr="00F271ED">
          <w:rPr>
            <w:rStyle w:val="Hyperlink"/>
            <w:noProof/>
          </w:rPr>
          <w:t>Table 12: Direct Ship Calling Barriers</w:t>
        </w:r>
        <w:r w:rsidR="00D97AC4">
          <w:rPr>
            <w:noProof/>
            <w:webHidden/>
          </w:rPr>
          <w:tab/>
        </w:r>
        <w:r w:rsidR="00CA7023">
          <w:rPr>
            <w:noProof/>
            <w:webHidden/>
          </w:rPr>
          <w:fldChar w:fldCharType="begin"/>
        </w:r>
        <w:r w:rsidR="00D97AC4">
          <w:rPr>
            <w:noProof/>
            <w:webHidden/>
          </w:rPr>
          <w:instrText xml:space="preserve"> PAGEREF _Toc366769129 \h </w:instrText>
        </w:r>
        <w:r w:rsidR="00CA7023">
          <w:rPr>
            <w:noProof/>
            <w:webHidden/>
          </w:rPr>
        </w:r>
        <w:r w:rsidR="00CA7023">
          <w:rPr>
            <w:noProof/>
            <w:webHidden/>
          </w:rPr>
          <w:fldChar w:fldCharType="separate"/>
        </w:r>
        <w:r w:rsidR="00FF5EB2">
          <w:rPr>
            <w:noProof/>
            <w:webHidden/>
          </w:rPr>
          <w:t>21</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30" w:history="1">
        <w:r w:rsidR="00D97AC4" w:rsidRPr="00F271ED">
          <w:rPr>
            <w:rStyle w:val="Hyperlink"/>
            <w:noProof/>
          </w:rPr>
          <w:t>Table 13: An Explanation of Shipping Economics and its Influence on Vessel Type</w:t>
        </w:r>
        <w:r w:rsidR="00D97AC4">
          <w:rPr>
            <w:noProof/>
            <w:webHidden/>
          </w:rPr>
          <w:tab/>
        </w:r>
        <w:r w:rsidR="00CA7023">
          <w:rPr>
            <w:noProof/>
            <w:webHidden/>
          </w:rPr>
          <w:fldChar w:fldCharType="begin"/>
        </w:r>
        <w:r w:rsidR="00D97AC4">
          <w:rPr>
            <w:noProof/>
            <w:webHidden/>
          </w:rPr>
          <w:instrText xml:space="preserve"> PAGEREF _Toc366769130 \h </w:instrText>
        </w:r>
        <w:r w:rsidR="00CA7023">
          <w:rPr>
            <w:noProof/>
            <w:webHidden/>
          </w:rPr>
        </w:r>
        <w:r w:rsidR="00CA7023">
          <w:rPr>
            <w:noProof/>
            <w:webHidden/>
          </w:rPr>
          <w:fldChar w:fldCharType="separate"/>
        </w:r>
        <w:r w:rsidR="00FF5EB2">
          <w:rPr>
            <w:noProof/>
            <w:webHidden/>
          </w:rPr>
          <w:t>23</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31" w:history="1">
        <w:r w:rsidR="00D97AC4" w:rsidRPr="00F271ED">
          <w:rPr>
            <w:rStyle w:val="Hyperlink"/>
            <w:noProof/>
          </w:rPr>
          <w:t>Table 14: International Liner and Bass Strait Service Features</w:t>
        </w:r>
        <w:r w:rsidR="00D97AC4">
          <w:rPr>
            <w:noProof/>
            <w:webHidden/>
          </w:rPr>
          <w:tab/>
        </w:r>
        <w:r w:rsidR="00CA7023">
          <w:rPr>
            <w:noProof/>
            <w:webHidden/>
          </w:rPr>
          <w:fldChar w:fldCharType="begin"/>
        </w:r>
        <w:r w:rsidR="00D97AC4">
          <w:rPr>
            <w:noProof/>
            <w:webHidden/>
          </w:rPr>
          <w:instrText xml:space="preserve"> PAGEREF _Toc366769131 \h </w:instrText>
        </w:r>
        <w:r w:rsidR="00CA7023">
          <w:rPr>
            <w:noProof/>
            <w:webHidden/>
          </w:rPr>
        </w:r>
        <w:r w:rsidR="00CA7023">
          <w:rPr>
            <w:noProof/>
            <w:webHidden/>
          </w:rPr>
          <w:fldChar w:fldCharType="separate"/>
        </w:r>
        <w:r w:rsidR="00FF5EB2">
          <w:rPr>
            <w:noProof/>
            <w:webHidden/>
          </w:rPr>
          <w:t>24</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32" w:history="1">
        <w:r w:rsidR="00D97AC4" w:rsidRPr="00F271ED">
          <w:rPr>
            <w:rStyle w:val="Hyperlink"/>
            <w:noProof/>
          </w:rPr>
          <w:t>Table 15: Comparison of Port Features</w:t>
        </w:r>
        <w:r w:rsidR="00D97AC4">
          <w:rPr>
            <w:noProof/>
            <w:webHidden/>
          </w:rPr>
          <w:tab/>
        </w:r>
        <w:r w:rsidR="00CA7023">
          <w:rPr>
            <w:noProof/>
            <w:webHidden/>
          </w:rPr>
          <w:fldChar w:fldCharType="begin"/>
        </w:r>
        <w:r w:rsidR="00D97AC4">
          <w:rPr>
            <w:noProof/>
            <w:webHidden/>
          </w:rPr>
          <w:instrText xml:space="preserve"> PAGEREF _Toc366769132 \h </w:instrText>
        </w:r>
        <w:r w:rsidR="00CA7023">
          <w:rPr>
            <w:noProof/>
            <w:webHidden/>
          </w:rPr>
        </w:r>
        <w:r w:rsidR="00CA7023">
          <w:rPr>
            <w:noProof/>
            <w:webHidden/>
          </w:rPr>
          <w:fldChar w:fldCharType="separate"/>
        </w:r>
        <w:r w:rsidR="00FF5EB2">
          <w:rPr>
            <w:noProof/>
            <w:webHidden/>
          </w:rPr>
          <w:t>29</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33" w:history="1">
        <w:r w:rsidR="00D97AC4" w:rsidRPr="00F271ED">
          <w:rPr>
            <w:rStyle w:val="Hyperlink"/>
            <w:noProof/>
          </w:rPr>
          <w:t>Table 16: Characteristics and Performance Indicators Of Burnie And Devonport Ports</w:t>
        </w:r>
        <w:r w:rsidR="00D97AC4">
          <w:rPr>
            <w:noProof/>
            <w:webHidden/>
          </w:rPr>
          <w:tab/>
        </w:r>
        <w:r w:rsidR="00CA7023">
          <w:rPr>
            <w:noProof/>
            <w:webHidden/>
          </w:rPr>
          <w:fldChar w:fldCharType="begin"/>
        </w:r>
        <w:r w:rsidR="00D97AC4">
          <w:rPr>
            <w:noProof/>
            <w:webHidden/>
          </w:rPr>
          <w:instrText xml:space="preserve"> PAGEREF _Toc366769133 \h </w:instrText>
        </w:r>
        <w:r w:rsidR="00CA7023">
          <w:rPr>
            <w:noProof/>
            <w:webHidden/>
          </w:rPr>
        </w:r>
        <w:r w:rsidR="00CA7023">
          <w:rPr>
            <w:noProof/>
            <w:webHidden/>
          </w:rPr>
          <w:fldChar w:fldCharType="separate"/>
        </w:r>
        <w:r w:rsidR="00FF5EB2">
          <w:rPr>
            <w:noProof/>
            <w:webHidden/>
          </w:rPr>
          <w:t>35</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34" w:history="1">
        <w:r w:rsidR="00D97AC4" w:rsidRPr="00F271ED">
          <w:rPr>
            <w:rStyle w:val="Hyperlink"/>
            <w:noProof/>
          </w:rPr>
          <w:t>Table 17: Port of Melbourne Future Expansion</w:t>
        </w:r>
        <w:r w:rsidR="00D97AC4">
          <w:rPr>
            <w:noProof/>
            <w:webHidden/>
          </w:rPr>
          <w:tab/>
        </w:r>
        <w:r w:rsidR="00CA7023">
          <w:rPr>
            <w:noProof/>
            <w:webHidden/>
          </w:rPr>
          <w:fldChar w:fldCharType="begin"/>
        </w:r>
        <w:r w:rsidR="00D97AC4">
          <w:rPr>
            <w:noProof/>
            <w:webHidden/>
          </w:rPr>
          <w:instrText xml:space="preserve"> PAGEREF _Toc366769134 \h </w:instrText>
        </w:r>
        <w:r w:rsidR="00CA7023">
          <w:rPr>
            <w:noProof/>
            <w:webHidden/>
          </w:rPr>
        </w:r>
        <w:r w:rsidR="00CA7023">
          <w:rPr>
            <w:noProof/>
            <w:webHidden/>
          </w:rPr>
          <w:fldChar w:fldCharType="separate"/>
        </w:r>
        <w:r w:rsidR="00FF5EB2">
          <w:rPr>
            <w:noProof/>
            <w:webHidden/>
          </w:rPr>
          <w:t>37</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35" w:history="1">
        <w:r w:rsidR="00D97AC4" w:rsidRPr="00F271ED">
          <w:rPr>
            <w:rStyle w:val="Hyperlink"/>
            <w:noProof/>
          </w:rPr>
          <w:t>Table 18: Tasmania Future Expansion</w:t>
        </w:r>
        <w:r w:rsidR="00D97AC4">
          <w:rPr>
            <w:noProof/>
            <w:webHidden/>
          </w:rPr>
          <w:tab/>
        </w:r>
        <w:r w:rsidR="00CA7023">
          <w:rPr>
            <w:noProof/>
            <w:webHidden/>
          </w:rPr>
          <w:fldChar w:fldCharType="begin"/>
        </w:r>
        <w:r w:rsidR="00D97AC4">
          <w:rPr>
            <w:noProof/>
            <w:webHidden/>
          </w:rPr>
          <w:instrText xml:space="preserve"> PAGEREF _Toc366769135 \h </w:instrText>
        </w:r>
        <w:r w:rsidR="00CA7023">
          <w:rPr>
            <w:noProof/>
            <w:webHidden/>
          </w:rPr>
        </w:r>
        <w:r w:rsidR="00CA7023">
          <w:rPr>
            <w:noProof/>
            <w:webHidden/>
          </w:rPr>
          <w:fldChar w:fldCharType="separate"/>
        </w:r>
        <w:r w:rsidR="00FF5EB2">
          <w:rPr>
            <w:noProof/>
            <w:webHidden/>
          </w:rPr>
          <w:t>38</w:t>
        </w:r>
        <w:r w:rsidR="00CA7023">
          <w:rPr>
            <w:noProof/>
            <w:webHidden/>
          </w:rPr>
          <w:fldChar w:fldCharType="end"/>
        </w:r>
      </w:hyperlink>
    </w:p>
    <w:p w:rsidR="006C10D2" w:rsidRDefault="00CA7023" w:rsidP="00161E64">
      <w:r w:rsidRPr="0010002D">
        <w:fldChar w:fldCharType="end"/>
      </w:r>
    </w:p>
    <w:p w:rsidR="006C10D2" w:rsidRDefault="006C10D2">
      <w:pPr>
        <w:spacing w:after="200"/>
        <w:jc w:val="left"/>
      </w:pPr>
      <w:r>
        <w:br w:type="page"/>
      </w:r>
    </w:p>
    <w:p w:rsidR="00161E64" w:rsidRPr="0010002D" w:rsidRDefault="00161E64" w:rsidP="00161E64"/>
    <w:p w:rsidR="00D97AC4" w:rsidRDefault="00CA7023">
      <w:pPr>
        <w:pStyle w:val="TableofFigures"/>
        <w:rPr>
          <w:rFonts w:eastAsiaTheme="minorEastAsia" w:cstheme="minorBidi"/>
          <w:bCs w:val="0"/>
          <w:noProof/>
          <w:sz w:val="22"/>
          <w:szCs w:val="22"/>
          <w:lang w:eastAsia="en-GB"/>
        </w:rPr>
      </w:pPr>
      <w:r w:rsidRPr="0010002D">
        <w:fldChar w:fldCharType="begin"/>
      </w:r>
      <w:r w:rsidR="00161E64" w:rsidRPr="0010002D">
        <w:instrText xml:space="preserve"> TOC \h \z \c "Figure" </w:instrText>
      </w:r>
      <w:r w:rsidRPr="0010002D">
        <w:fldChar w:fldCharType="separate"/>
      </w:r>
      <w:hyperlink w:anchor="_Toc366769136" w:history="1">
        <w:r w:rsidR="00D97AC4" w:rsidRPr="000E3CB2">
          <w:rPr>
            <w:rStyle w:val="Hyperlink"/>
            <w:noProof/>
          </w:rPr>
          <w:t>Figure 1: Freight Providers Market Share (Source: Aurecon analysis)</w:t>
        </w:r>
        <w:r w:rsidR="00D97AC4">
          <w:rPr>
            <w:noProof/>
            <w:webHidden/>
          </w:rPr>
          <w:tab/>
        </w:r>
        <w:r>
          <w:rPr>
            <w:noProof/>
            <w:webHidden/>
          </w:rPr>
          <w:fldChar w:fldCharType="begin"/>
        </w:r>
        <w:r w:rsidR="00D97AC4">
          <w:rPr>
            <w:noProof/>
            <w:webHidden/>
          </w:rPr>
          <w:instrText xml:space="preserve"> PAGEREF _Toc366769136 \h </w:instrText>
        </w:r>
        <w:r>
          <w:rPr>
            <w:noProof/>
            <w:webHidden/>
          </w:rPr>
        </w:r>
        <w:r>
          <w:rPr>
            <w:noProof/>
            <w:webHidden/>
          </w:rPr>
          <w:fldChar w:fldCharType="separate"/>
        </w:r>
        <w:r w:rsidR="00FF5EB2">
          <w:rPr>
            <w:noProof/>
            <w:webHidden/>
          </w:rPr>
          <w:t>9</w:t>
        </w:r>
        <w:r>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37" w:history="1">
        <w:r w:rsidR="00D97AC4" w:rsidRPr="000E3CB2">
          <w:rPr>
            <w:rStyle w:val="Hyperlink"/>
            <w:noProof/>
          </w:rPr>
          <w:t>Figure 2: Port of Burnie Aerial Photo</w:t>
        </w:r>
        <w:r w:rsidR="00D97AC4">
          <w:rPr>
            <w:noProof/>
            <w:webHidden/>
          </w:rPr>
          <w:tab/>
        </w:r>
        <w:r w:rsidR="00CA7023">
          <w:rPr>
            <w:noProof/>
            <w:webHidden/>
          </w:rPr>
          <w:fldChar w:fldCharType="begin"/>
        </w:r>
        <w:r w:rsidR="00D97AC4">
          <w:rPr>
            <w:noProof/>
            <w:webHidden/>
          </w:rPr>
          <w:instrText xml:space="preserve"> PAGEREF _Toc366769137 \h </w:instrText>
        </w:r>
        <w:r w:rsidR="00CA7023">
          <w:rPr>
            <w:noProof/>
            <w:webHidden/>
          </w:rPr>
        </w:r>
        <w:r w:rsidR="00CA7023">
          <w:rPr>
            <w:noProof/>
            <w:webHidden/>
          </w:rPr>
          <w:fldChar w:fldCharType="separate"/>
        </w:r>
        <w:r w:rsidR="00FF5EB2">
          <w:rPr>
            <w:noProof/>
            <w:webHidden/>
          </w:rPr>
          <w:t>39</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38" w:history="1">
        <w:r w:rsidR="00D97AC4" w:rsidRPr="000E3CB2">
          <w:rPr>
            <w:rStyle w:val="Hyperlink"/>
            <w:noProof/>
          </w:rPr>
          <w:t>Figure 3: Port of Burnie Maritime Chart</w:t>
        </w:r>
        <w:r w:rsidR="00D97AC4">
          <w:rPr>
            <w:noProof/>
            <w:webHidden/>
          </w:rPr>
          <w:tab/>
        </w:r>
        <w:r w:rsidR="00CA7023">
          <w:rPr>
            <w:noProof/>
            <w:webHidden/>
          </w:rPr>
          <w:fldChar w:fldCharType="begin"/>
        </w:r>
        <w:r w:rsidR="00D97AC4">
          <w:rPr>
            <w:noProof/>
            <w:webHidden/>
          </w:rPr>
          <w:instrText xml:space="preserve"> PAGEREF _Toc366769138 \h </w:instrText>
        </w:r>
        <w:r w:rsidR="00CA7023">
          <w:rPr>
            <w:noProof/>
            <w:webHidden/>
          </w:rPr>
        </w:r>
        <w:r w:rsidR="00CA7023">
          <w:rPr>
            <w:noProof/>
            <w:webHidden/>
          </w:rPr>
          <w:fldChar w:fldCharType="separate"/>
        </w:r>
        <w:r w:rsidR="00FF5EB2">
          <w:rPr>
            <w:noProof/>
            <w:webHidden/>
          </w:rPr>
          <w:t>40</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39" w:history="1">
        <w:r w:rsidR="00D97AC4" w:rsidRPr="000E3CB2">
          <w:rPr>
            <w:rStyle w:val="Hyperlink"/>
            <w:noProof/>
          </w:rPr>
          <w:t>Figure 4: Port of Devonport Aerial Photo</w:t>
        </w:r>
        <w:r w:rsidR="00D97AC4">
          <w:rPr>
            <w:noProof/>
            <w:webHidden/>
          </w:rPr>
          <w:tab/>
        </w:r>
        <w:r w:rsidR="00CA7023">
          <w:rPr>
            <w:noProof/>
            <w:webHidden/>
          </w:rPr>
          <w:fldChar w:fldCharType="begin"/>
        </w:r>
        <w:r w:rsidR="00D97AC4">
          <w:rPr>
            <w:noProof/>
            <w:webHidden/>
          </w:rPr>
          <w:instrText xml:space="preserve"> PAGEREF _Toc366769139 \h </w:instrText>
        </w:r>
        <w:r w:rsidR="00CA7023">
          <w:rPr>
            <w:noProof/>
            <w:webHidden/>
          </w:rPr>
        </w:r>
        <w:r w:rsidR="00CA7023">
          <w:rPr>
            <w:noProof/>
            <w:webHidden/>
          </w:rPr>
          <w:fldChar w:fldCharType="separate"/>
        </w:r>
        <w:r w:rsidR="00FF5EB2">
          <w:rPr>
            <w:noProof/>
            <w:webHidden/>
          </w:rPr>
          <w:t>41</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40" w:history="1">
        <w:r w:rsidR="00D97AC4" w:rsidRPr="000E3CB2">
          <w:rPr>
            <w:rStyle w:val="Hyperlink"/>
            <w:noProof/>
          </w:rPr>
          <w:t>Figure 5: Port of Devonport Maritime Chart</w:t>
        </w:r>
        <w:r w:rsidR="00D97AC4">
          <w:rPr>
            <w:noProof/>
            <w:webHidden/>
          </w:rPr>
          <w:tab/>
        </w:r>
        <w:r w:rsidR="00CA7023">
          <w:rPr>
            <w:noProof/>
            <w:webHidden/>
          </w:rPr>
          <w:fldChar w:fldCharType="begin"/>
        </w:r>
        <w:r w:rsidR="00D97AC4">
          <w:rPr>
            <w:noProof/>
            <w:webHidden/>
          </w:rPr>
          <w:instrText xml:space="preserve"> PAGEREF _Toc366769140 \h </w:instrText>
        </w:r>
        <w:r w:rsidR="00CA7023">
          <w:rPr>
            <w:noProof/>
            <w:webHidden/>
          </w:rPr>
        </w:r>
        <w:r w:rsidR="00CA7023">
          <w:rPr>
            <w:noProof/>
            <w:webHidden/>
          </w:rPr>
          <w:fldChar w:fldCharType="separate"/>
        </w:r>
        <w:r w:rsidR="00FF5EB2">
          <w:rPr>
            <w:noProof/>
            <w:webHidden/>
          </w:rPr>
          <w:t>42</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41" w:history="1">
        <w:r w:rsidR="00D97AC4" w:rsidRPr="000E3CB2">
          <w:rPr>
            <w:rStyle w:val="Hyperlink"/>
            <w:noProof/>
          </w:rPr>
          <w:t>Figure 6: Port of Bell Bay Aerial Photo</w:t>
        </w:r>
        <w:r w:rsidR="00D97AC4">
          <w:rPr>
            <w:noProof/>
            <w:webHidden/>
          </w:rPr>
          <w:tab/>
        </w:r>
        <w:r w:rsidR="00CA7023">
          <w:rPr>
            <w:noProof/>
            <w:webHidden/>
          </w:rPr>
          <w:fldChar w:fldCharType="begin"/>
        </w:r>
        <w:r w:rsidR="00D97AC4">
          <w:rPr>
            <w:noProof/>
            <w:webHidden/>
          </w:rPr>
          <w:instrText xml:space="preserve"> PAGEREF _Toc366769141 \h </w:instrText>
        </w:r>
        <w:r w:rsidR="00CA7023">
          <w:rPr>
            <w:noProof/>
            <w:webHidden/>
          </w:rPr>
        </w:r>
        <w:r w:rsidR="00CA7023">
          <w:rPr>
            <w:noProof/>
            <w:webHidden/>
          </w:rPr>
          <w:fldChar w:fldCharType="separate"/>
        </w:r>
        <w:r w:rsidR="00FF5EB2">
          <w:rPr>
            <w:noProof/>
            <w:webHidden/>
          </w:rPr>
          <w:t>45</w:t>
        </w:r>
        <w:r w:rsidR="00CA7023">
          <w:rPr>
            <w:noProof/>
            <w:webHidden/>
          </w:rPr>
          <w:fldChar w:fldCharType="end"/>
        </w:r>
      </w:hyperlink>
    </w:p>
    <w:p w:rsidR="00D97AC4" w:rsidRDefault="001474D4">
      <w:pPr>
        <w:pStyle w:val="TableofFigures"/>
        <w:rPr>
          <w:rFonts w:eastAsiaTheme="minorEastAsia" w:cstheme="minorBidi"/>
          <w:bCs w:val="0"/>
          <w:noProof/>
          <w:sz w:val="22"/>
          <w:szCs w:val="22"/>
          <w:lang w:eastAsia="en-GB"/>
        </w:rPr>
      </w:pPr>
      <w:hyperlink w:anchor="_Toc366769142" w:history="1">
        <w:r w:rsidR="00D97AC4" w:rsidRPr="000E3CB2">
          <w:rPr>
            <w:rStyle w:val="Hyperlink"/>
            <w:noProof/>
          </w:rPr>
          <w:t>Figure 7: Port of Bell Bay Maritime chart</w:t>
        </w:r>
        <w:r w:rsidR="00D97AC4">
          <w:rPr>
            <w:noProof/>
            <w:webHidden/>
          </w:rPr>
          <w:tab/>
        </w:r>
        <w:r w:rsidR="00CA7023">
          <w:rPr>
            <w:noProof/>
            <w:webHidden/>
          </w:rPr>
          <w:fldChar w:fldCharType="begin"/>
        </w:r>
        <w:r w:rsidR="00D97AC4">
          <w:rPr>
            <w:noProof/>
            <w:webHidden/>
          </w:rPr>
          <w:instrText xml:space="preserve"> PAGEREF _Toc366769142 \h </w:instrText>
        </w:r>
        <w:r w:rsidR="00CA7023">
          <w:rPr>
            <w:noProof/>
            <w:webHidden/>
          </w:rPr>
        </w:r>
        <w:r w:rsidR="00CA7023">
          <w:rPr>
            <w:noProof/>
            <w:webHidden/>
          </w:rPr>
          <w:fldChar w:fldCharType="separate"/>
        </w:r>
        <w:r w:rsidR="00FF5EB2">
          <w:rPr>
            <w:noProof/>
            <w:webHidden/>
          </w:rPr>
          <w:t>46</w:t>
        </w:r>
        <w:r w:rsidR="00CA7023">
          <w:rPr>
            <w:noProof/>
            <w:webHidden/>
          </w:rPr>
          <w:fldChar w:fldCharType="end"/>
        </w:r>
      </w:hyperlink>
    </w:p>
    <w:p w:rsidR="00161E64" w:rsidRPr="0010002D" w:rsidRDefault="00CA7023" w:rsidP="00161E64">
      <w:r w:rsidRPr="0010002D">
        <w:fldChar w:fldCharType="end"/>
      </w:r>
      <w:r w:rsidR="00161E64" w:rsidRPr="0010002D">
        <w:br w:type="page"/>
      </w:r>
    </w:p>
    <w:tbl>
      <w:tblPr>
        <w:tblStyle w:val="TableGrid"/>
        <w:tblW w:w="5470"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24"/>
      </w:tblGrid>
      <w:tr w:rsidR="00DB6A1A" w:rsidRPr="0010002D" w:rsidTr="00251945">
        <w:trPr>
          <w:trHeight w:val="3308"/>
        </w:trPr>
        <w:tc>
          <w:tcPr>
            <w:tcW w:w="5000" w:type="pct"/>
          </w:tcPr>
          <w:p w:rsidR="004014F9" w:rsidRPr="0010002D" w:rsidRDefault="004014F9" w:rsidP="004014F9">
            <w:pPr>
              <w:pStyle w:val="PartHeading"/>
            </w:pPr>
            <w:bookmarkStart w:id="308" w:name="_Toc358802477"/>
            <w:bookmarkStart w:id="309" w:name="_Toc361388924"/>
            <w:r w:rsidRPr="0010002D">
              <w:t xml:space="preserve">Appendix </w:t>
            </w:r>
            <w:r w:rsidR="001474D4">
              <w:fldChar w:fldCharType="begin"/>
            </w:r>
            <w:r w:rsidR="001474D4">
              <w:instrText xml:space="preserve"> SE</w:instrText>
            </w:r>
            <w:r w:rsidR="001474D4">
              <w:instrText xml:space="preserve">Q Appendix\* ALPHABETIC\n  \* MERGEFORMAT </w:instrText>
            </w:r>
            <w:r w:rsidR="001474D4">
              <w:fldChar w:fldCharType="separate"/>
            </w:r>
            <w:r w:rsidR="00FF5EB2">
              <w:rPr>
                <w:noProof/>
              </w:rPr>
              <w:t>B</w:t>
            </w:r>
            <w:bookmarkEnd w:id="306"/>
            <w:bookmarkEnd w:id="308"/>
            <w:bookmarkEnd w:id="309"/>
            <w:r w:rsidR="001474D4">
              <w:rPr>
                <w:noProof/>
              </w:rPr>
              <w:fldChar w:fldCharType="end"/>
            </w:r>
          </w:p>
          <w:bookmarkStart w:id="310" w:name="_Toc367700253"/>
          <w:p w:rsidR="00DB6A1A" w:rsidRPr="0010002D" w:rsidRDefault="001474D4" w:rsidP="008B1A70">
            <w:pPr>
              <w:pStyle w:val="Heading2"/>
              <w:outlineLvl w:val="1"/>
            </w:pPr>
            <w:sdt>
              <w:sdtPr>
                <w:alias w:val="Appendix Heading"/>
                <w:tag w:val="AppendixHeading"/>
                <w:id w:val="167143077"/>
                <w:text w:multiLine="1"/>
              </w:sdtPr>
              <w:sdtEndPr/>
              <w:sdtContent>
                <w:r w:rsidR="00622A3D" w:rsidRPr="003077CE">
                  <w:t>Commodity Classifications</w:t>
                </w:r>
              </w:sdtContent>
            </w:sdt>
            <w:bookmarkEnd w:id="310"/>
          </w:p>
        </w:tc>
      </w:tr>
    </w:tbl>
    <w:p w:rsidR="00DB6A1A" w:rsidRPr="0010002D" w:rsidRDefault="00DB6A1A" w:rsidP="00C350BA">
      <w:r w:rsidRPr="0010002D">
        <w:t>Port of Melbourne commodity classifications have been used in this report. Commodities map to commodity groups as shown.</w:t>
      </w:r>
    </w:p>
    <w:tbl>
      <w:tblPr>
        <w:tblStyle w:val="Style1"/>
        <w:tblW w:w="11257" w:type="dxa"/>
        <w:tblLook w:val="04A0" w:firstRow="1" w:lastRow="0" w:firstColumn="1" w:lastColumn="0" w:noHBand="0" w:noVBand="1"/>
      </w:tblPr>
      <w:tblGrid>
        <w:gridCol w:w="1377"/>
        <w:gridCol w:w="3402"/>
        <w:gridCol w:w="3232"/>
        <w:gridCol w:w="3246"/>
      </w:tblGrid>
      <w:tr w:rsidR="00DD40DD" w:rsidRPr="0010002D" w:rsidTr="008228EC">
        <w:trPr>
          <w:cnfStyle w:val="100000000000" w:firstRow="1" w:lastRow="0" w:firstColumn="0" w:lastColumn="0" w:oddVBand="0" w:evenVBand="0" w:oddHBand="0" w:evenHBand="0" w:firstRowFirstColumn="0" w:firstRowLastColumn="0" w:lastRowFirstColumn="0" w:lastRowLastColumn="0"/>
          <w:trHeight w:val="415"/>
          <w:tblHeader/>
        </w:trPr>
        <w:tc>
          <w:tcPr>
            <w:cnfStyle w:val="001000000000" w:firstRow="0" w:lastRow="0" w:firstColumn="1" w:lastColumn="0" w:oddVBand="0" w:evenVBand="0" w:oddHBand="0" w:evenHBand="0" w:firstRowFirstColumn="0" w:firstRowLastColumn="0" w:lastRowFirstColumn="0" w:lastRowLastColumn="0"/>
            <w:tcW w:w="1377" w:type="dxa"/>
          </w:tcPr>
          <w:p w:rsidR="00DD40DD" w:rsidRPr="0010002D" w:rsidRDefault="00DD40DD" w:rsidP="00C350BA">
            <w:pPr>
              <w:spacing w:before="144" w:after="144"/>
            </w:pPr>
            <w:r w:rsidRPr="0010002D">
              <w:t>Commodity Group</w:t>
            </w:r>
          </w:p>
        </w:tc>
        <w:tc>
          <w:tcPr>
            <w:tcW w:w="3402" w:type="dxa"/>
          </w:tcPr>
          <w:p w:rsidR="00DD40DD" w:rsidRPr="0010002D" w:rsidRDefault="00DD40DD" w:rsidP="00C350BA">
            <w:pPr>
              <w:spacing w:before="144" w:after="144"/>
              <w:cnfStyle w:val="100000000000" w:firstRow="1" w:lastRow="0" w:firstColumn="0" w:lastColumn="0" w:oddVBand="0" w:evenVBand="0" w:oddHBand="0" w:evenHBand="0" w:firstRowFirstColumn="0" w:firstRowLastColumn="0" w:lastRowFirstColumn="0" w:lastRowLastColumn="0"/>
            </w:pPr>
            <w:r w:rsidRPr="0010002D">
              <w:t>Commodities</w:t>
            </w:r>
          </w:p>
        </w:tc>
        <w:tc>
          <w:tcPr>
            <w:tcW w:w="3232" w:type="dxa"/>
          </w:tcPr>
          <w:p w:rsidR="00DD40DD" w:rsidRPr="0010002D" w:rsidRDefault="00DD40DD" w:rsidP="00C350BA">
            <w:pPr>
              <w:spacing w:before="144" w:after="144"/>
              <w:cnfStyle w:val="100000000000" w:firstRow="1" w:lastRow="0" w:firstColumn="0" w:lastColumn="0" w:oddVBand="0" w:evenVBand="0" w:oddHBand="0" w:evenHBand="0" w:firstRowFirstColumn="0" w:firstRowLastColumn="0" w:lastRowFirstColumn="0" w:lastRowLastColumn="0"/>
            </w:pPr>
            <w:r w:rsidRPr="0010002D">
              <w:t>Commodities</w:t>
            </w:r>
          </w:p>
        </w:tc>
        <w:tc>
          <w:tcPr>
            <w:tcW w:w="3246" w:type="dxa"/>
          </w:tcPr>
          <w:p w:rsidR="00DD40DD" w:rsidRPr="0010002D" w:rsidRDefault="00DD40DD" w:rsidP="00C350BA">
            <w:pPr>
              <w:spacing w:before="144" w:after="144"/>
              <w:cnfStyle w:val="100000000000" w:firstRow="1" w:lastRow="0" w:firstColumn="0" w:lastColumn="0" w:oddVBand="0" w:evenVBand="0" w:oddHBand="0" w:evenHBand="0" w:firstRowFirstColumn="0" w:firstRowLastColumn="0" w:lastRowFirstColumn="0" w:lastRowLastColumn="0"/>
            </w:pPr>
            <w:r w:rsidRPr="0010002D">
              <w:t>Commodities</w:t>
            </w: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val="restart"/>
            <w:shd w:val="clear" w:color="auto" w:fill="auto"/>
            <w:vAlign w:val="top"/>
          </w:tcPr>
          <w:p w:rsidR="00DD40DD" w:rsidRPr="0010002D" w:rsidRDefault="00DD40DD" w:rsidP="008D19A7">
            <w:pPr>
              <w:pStyle w:val="Tables"/>
            </w:pPr>
            <w:r w:rsidRPr="0010002D">
              <w:t>Agriculture</w:t>
            </w:r>
          </w:p>
        </w:tc>
        <w:tc>
          <w:tcPr>
            <w:tcW w:w="3402" w:type="dxa"/>
            <w:shd w:val="clear" w:color="auto" w:fill="auto"/>
            <w:vAlign w:val="top"/>
          </w:tcPr>
          <w:p w:rsidR="00DD40DD" w:rsidRPr="0010002D" w:rsidRDefault="008228EC" w:rsidP="008D19A7">
            <w:pPr>
              <w:pStyle w:val="Tables"/>
              <w:cnfStyle w:val="000000100000" w:firstRow="0" w:lastRow="0" w:firstColumn="0" w:lastColumn="0" w:oddVBand="0" w:evenVBand="0" w:oddHBand="1" w:evenHBand="0" w:firstRowFirstColumn="0" w:firstRowLastColumn="0" w:lastRowFirstColumn="0" w:lastRowLastColumn="0"/>
            </w:pPr>
            <w:r w:rsidRPr="0010002D">
              <w:t>Animal Foods, NEI</w:t>
            </w:r>
          </w:p>
        </w:tc>
        <w:tc>
          <w:tcPr>
            <w:tcW w:w="323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Fruit, Fresh</w:t>
            </w:r>
          </w:p>
        </w:tc>
        <w:tc>
          <w:tcPr>
            <w:tcW w:w="3246"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Milk, Processed</w:t>
            </w: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Barley</w:t>
            </w:r>
          </w:p>
        </w:tc>
        <w:tc>
          <w:tcPr>
            <w:tcW w:w="323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Hay, Chaff &amp; Fodder</w:t>
            </w:r>
          </w:p>
        </w:tc>
        <w:tc>
          <w:tcPr>
            <w:tcW w:w="3246"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Oats</w:t>
            </w: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Beef - Packaged</w:t>
            </w:r>
          </w:p>
        </w:tc>
        <w:tc>
          <w:tcPr>
            <w:tcW w:w="323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Hides, Skins &amp; Furs</w:t>
            </w:r>
          </w:p>
        </w:tc>
        <w:tc>
          <w:tcPr>
            <w:tcW w:w="3246"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Oil Seeds, Nuts, Kernels</w:t>
            </w: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Butter And Cheese</w:t>
            </w:r>
          </w:p>
        </w:tc>
        <w:tc>
          <w:tcPr>
            <w:tcW w:w="323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Lamb - Packaged</w:t>
            </w:r>
          </w:p>
        </w:tc>
        <w:tc>
          <w:tcPr>
            <w:tcW w:w="3246"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Stockfeed</w:t>
            </w:r>
          </w:p>
        </w:tc>
      </w:tr>
      <w:tr w:rsidR="00DD40DD" w:rsidRPr="0010002D" w:rsidTr="008228EC">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Cereals - Other</w:t>
            </w:r>
          </w:p>
        </w:tc>
        <w:tc>
          <w:tcPr>
            <w:tcW w:w="323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Livestock</w:t>
            </w:r>
          </w:p>
        </w:tc>
        <w:tc>
          <w:tcPr>
            <w:tcW w:w="3246"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Vegetables, Fresh &amp; Frozen</w:t>
            </w: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Dairy Products - Other</w:t>
            </w:r>
          </w:p>
        </w:tc>
        <w:tc>
          <w:tcPr>
            <w:tcW w:w="323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Malt</w:t>
            </w:r>
          </w:p>
        </w:tc>
        <w:tc>
          <w:tcPr>
            <w:tcW w:w="3246"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Vegetables, Processed</w:t>
            </w: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Fish, Fresh &amp; Frozen</w:t>
            </w:r>
          </w:p>
        </w:tc>
        <w:tc>
          <w:tcPr>
            <w:tcW w:w="323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Meals &amp; Flours</w:t>
            </w:r>
          </w:p>
        </w:tc>
        <w:tc>
          <w:tcPr>
            <w:tcW w:w="3246"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Wheat</w:t>
            </w: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Fish, Processed</w:t>
            </w:r>
          </w:p>
        </w:tc>
        <w:tc>
          <w:tcPr>
            <w:tcW w:w="323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Meat, NEI</w:t>
            </w:r>
          </w:p>
        </w:tc>
        <w:tc>
          <w:tcPr>
            <w:tcW w:w="3246"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Wine</w:t>
            </w: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Flour</w:t>
            </w:r>
          </w:p>
        </w:tc>
        <w:tc>
          <w:tcPr>
            <w:tcW w:w="323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Milk Products</w:t>
            </w:r>
          </w:p>
        </w:tc>
        <w:tc>
          <w:tcPr>
            <w:tcW w:w="3246"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Wool</w:t>
            </w: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Fruit Preserved</w:t>
            </w:r>
          </w:p>
        </w:tc>
        <w:tc>
          <w:tcPr>
            <w:tcW w:w="323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Milk, Dried</w:t>
            </w:r>
          </w:p>
        </w:tc>
        <w:tc>
          <w:tcPr>
            <w:tcW w:w="3246"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val="restart"/>
            <w:shd w:val="clear" w:color="auto" w:fill="F3F9E8" w:themeFill="accent5" w:themeFillTint="33"/>
            <w:vAlign w:val="top"/>
          </w:tcPr>
          <w:p w:rsidR="00DD40DD" w:rsidRPr="0010002D" w:rsidRDefault="00DD40DD" w:rsidP="008D19A7">
            <w:pPr>
              <w:pStyle w:val="Tables"/>
            </w:pPr>
            <w:r w:rsidRPr="0010002D">
              <w:t>Automotive</w:t>
            </w:r>
          </w:p>
        </w:tc>
        <w:tc>
          <w:tcPr>
            <w:tcW w:w="3402"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Agricultural Machinery</w:t>
            </w:r>
          </w:p>
        </w:tc>
        <w:tc>
          <w:tcPr>
            <w:tcW w:w="3232"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Transport Equipment, NEI</w:t>
            </w:r>
          </w:p>
        </w:tc>
        <w:tc>
          <w:tcPr>
            <w:tcW w:w="3246"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F3F9E8" w:themeFill="accent5" w:themeFillTint="33"/>
            <w:vAlign w:val="top"/>
          </w:tcPr>
          <w:p w:rsidR="00DD40DD" w:rsidRPr="0010002D" w:rsidRDefault="00DD40DD" w:rsidP="008D19A7">
            <w:pPr>
              <w:pStyle w:val="Tables"/>
            </w:pPr>
          </w:p>
        </w:tc>
        <w:tc>
          <w:tcPr>
            <w:tcW w:w="3402"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Second Hand Motor Veh.</w:t>
            </w:r>
          </w:p>
        </w:tc>
        <w:tc>
          <w:tcPr>
            <w:tcW w:w="3232"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Vehicle Parts</w:t>
            </w:r>
          </w:p>
        </w:tc>
        <w:tc>
          <w:tcPr>
            <w:tcW w:w="3246"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val="restart"/>
            <w:shd w:val="clear" w:color="auto" w:fill="auto"/>
            <w:vAlign w:val="top"/>
          </w:tcPr>
          <w:p w:rsidR="00DD40DD" w:rsidRPr="0010002D" w:rsidRDefault="00DD40DD" w:rsidP="008D19A7">
            <w:pPr>
              <w:pStyle w:val="Tables"/>
            </w:pPr>
            <w:r w:rsidRPr="0010002D">
              <w:t>Industrial</w:t>
            </w:r>
          </w:p>
        </w:tc>
        <w:tc>
          <w:tcPr>
            <w:tcW w:w="340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Aluminium</w:t>
            </w:r>
          </w:p>
        </w:tc>
        <w:tc>
          <w:tcPr>
            <w:tcW w:w="323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Leather Manufactures</w:t>
            </w:r>
          </w:p>
        </w:tc>
        <w:tc>
          <w:tcPr>
            <w:tcW w:w="3246"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Scrap Metal - Other</w:t>
            </w: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Chemical Elements And Comp, NEI</w:t>
            </w:r>
          </w:p>
        </w:tc>
        <w:tc>
          <w:tcPr>
            <w:tcW w:w="323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Lubricating Oils</w:t>
            </w:r>
          </w:p>
        </w:tc>
        <w:tc>
          <w:tcPr>
            <w:tcW w:w="3246"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Soda Ash</w:t>
            </w: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Chemical Products, NEI</w:t>
            </w:r>
          </w:p>
        </w:tc>
        <w:tc>
          <w:tcPr>
            <w:tcW w:w="323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Machinery - Non Elec. NEI</w:t>
            </w:r>
          </w:p>
        </w:tc>
        <w:tc>
          <w:tcPr>
            <w:tcW w:w="3246"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Steel Scrap</w:t>
            </w: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Copper &amp; Brass</w:t>
            </w:r>
          </w:p>
        </w:tc>
        <w:tc>
          <w:tcPr>
            <w:tcW w:w="323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Medical &amp; Pharm. Prods</w:t>
            </w:r>
          </w:p>
        </w:tc>
        <w:tc>
          <w:tcPr>
            <w:tcW w:w="3246"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Sugar, Raw</w:t>
            </w: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Distillate Fuels</w:t>
            </w:r>
          </w:p>
        </w:tc>
        <w:tc>
          <w:tcPr>
            <w:tcW w:w="323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N-Met Minerals &amp; Manuf. NEI</w:t>
            </w:r>
          </w:p>
        </w:tc>
        <w:tc>
          <w:tcPr>
            <w:tcW w:w="3246"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Textile/Fibre Waste</w:t>
            </w: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Dyeing &amp; Coloring Materials</w:t>
            </w:r>
          </w:p>
        </w:tc>
        <w:tc>
          <w:tcPr>
            <w:tcW w:w="323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Non-Ferrous Metals, NEI</w:t>
            </w:r>
          </w:p>
        </w:tc>
        <w:tc>
          <w:tcPr>
            <w:tcW w:w="3246"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Timber - Other</w:t>
            </w: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Explosives</w:t>
            </w:r>
          </w:p>
        </w:tc>
        <w:tc>
          <w:tcPr>
            <w:tcW w:w="323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Petrochemicals</w:t>
            </w:r>
          </w:p>
        </w:tc>
        <w:tc>
          <w:tcPr>
            <w:tcW w:w="3246"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Timber, Sawn</w:t>
            </w: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Ferrous Metals, NEI</w:t>
            </w:r>
          </w:p>
        </w:tc>
        <w:tc>
          <w:tcPr>
            <w:tcW w:w="323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Petroleum &amp; Products, NEI</w:t>
            </w:r>
          </w:p>
        </w:tc>
        <w:tc>
          <w:tcPr>
            <w:tcW w:w="3246"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Tin</w:t>
            </w: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Fertilizers Manufactured</w:t>
            </w:r>
          </w:p>
        </w:tc>
        <w:tc>
          <w:tcPr>
            <w:tcW w:w="323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Pig Iron</w:t>
            </w:r>
          </w:p>
        </w:tc>
        <w:tc>
          <w:tcPr>
            <w:tcW w:w="3246"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Wood &amp; Cork Manuf.</w:t>
            </w: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Fibres - Other</w:t>
            </w:r>
          </w:p>
        </w:tc>
        <w:tc>
          <w:tcPr>
            <w:tcW w:w="323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Pitch, Asphalt</w:t>
            </w:r>
          </w:p>
        </w:tc>
        <w:tc>
          <w:tcPr>
            <w:tcW w:w="3246"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Zinc</w:t>
            </w: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Iron &amp; Steel - Shapes</w:t>
            </w:r>
          </w:p>
        </w:tc>
        <w:tc>
          <w:tcPr>
            <w:tcW w:w="323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Plastics, Raw</w:t>
            </w:r>
          </w:p>
        </w:tc>
        <w:tc>
          <w:tcPr>
            <w:tcW w:w="3246"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Lead</w:t>
            </w:r>
          </w:p>
        </w:tc>
        <w:tc>
          <w:tcPr>
            <w:tcW w:w="323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Residual Oil</w:t>
            </w:r>
          </w:p>
        </w:tc>
        <w:tc>
          <w:tcPr>
            <w:tcW w:w="3246"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val="restart"/>
            <w:shd w:val="clear" w:color="auto" w:fill="E7F4D1" w:themeFill="accent5" w:themeFillTint="66"/>
            <w:vAlign w:val="top"/>
          </w:tcPr>
          <w:p w:rsidR="00DD40DD" w:rsidRPr="0010002D" w:rsidRDefault="00DD40DD" w:rsidP="008D19A7">
            <w:pPr>
              <w:pStyle w:val="Tables"/>
            </w:pPr>
            <w:r w:rsidRPr="0010002D">
              <w:t>Mining</w:t>
            </w:r>
          </w:p>
        </w:tc>
        <w:tc>
          <w:tcPr>
            <w:tcW w:w="3402" w:type="dxa"/>
            <w:shd w:val="clear" w:color="auto" w:fill="E7F4D1" w:themeFill="accent5" w:themeFillTint="66"/>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Cement</w:t>
            </w:r>
          </w:p>
        </w:tc>
        <w:tc>
          <w:tcPr>
            <w:tcW w:w="3232" w:type="dxa"/>
            <w:shd w:val="clear" w:color="auto" w:fill="E7F4D1" w:themeFill="accent5" w:themeFillTint="66"/>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Crude Fert &amp; Minerals, NEI</w:t>
            </w:r>
          </w:p>
        </w:tc>
        <w:tc>
          <w:tcPr>
            <w:tcW w:w="3246" w:type="dxa"/>
            <w:shd w:val="clear" w:color="auto" w:fill="E7F4D1" w:themeFill="accent5" w:themeFillTint="66"/>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Ores &amp; Conc. - Other</w:t>
            </w: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E7F4D1" w:themeFill="accent5" w:themeFillTint="66"/>
            <w:vAlign w:val="top"/>
          </w:tcPr>
          <w:p w:rsidR="00DD40DD" w:rsidRPr="0010002D" w:rsidRDefault="00DD40DD" w:rsidP="008D19A7">
            <w:pPr>
              <w:pStyle w:val="Tables"/>
            </w:pPr>
          </w:p>
        </w:tc>
        <w:tc>
          <w:tcPr>
            <w:tcW w:w="3402" w:type="dxa"/>
            <w:shd w:val="clear" w:color="auto" w:fill="E7F4D1" w:themeFill="accent5" w:themeFillTint="66"/>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Clay</w:t>
            </w:r>
          </w:p>
        </w:tc>
        <w:tc>
          <w:tcPr>
            <w:tcW w:w="3232" w:type="dxa"/>
            <w:shd w:val="clear" w:color="auto" w:fill="E7F4D1" w:themeFill="accent5" w:themeFillTint="66"/>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Gypsum</w:t>
            </w:r>
          </w:p>
        </w:tc>
        <w:tc>
          <w:tcPr>
            <w:tcW w:w="3246" w:type="dxa"/>
            <w:shd w:val="clear" w:color="auto" w:fill="E7F4D1" w:themeFill="accent5" w:themeFillTint="66"/>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val="restart"/>
            <w:shd w:val="clear" w:color="auto" w:fill="auto"/>
            <w:vAlign w:val="top"/>
          </w:tcPr>
          <w:p w:rsidR="00DD40DD" w:rsidRPr="0010002D" w:rsidRDefault="00DD40DD" w:rsidP="008D19A7">
            <w:pPr>
              <w:pStyle w:val="Tables"/>
            </w:pPr>
            <w:r w:rsidRPr="0010002D">
              <w:t>Pulp &amp; Paper</w:t>
            </w:r>
          </w:p>
        </w:tc>
        <w:tc>
          <w:tcPr>
            <w:tcW w:w="340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Newsprint Paper</w:t>
            </w:r>
          </w:p>
        </w:tc>
        <w:tc>
          <w:tcPr>
            <w:tcW w:w="323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Paperboard &amp; Manuf.</w:t>
            </w:r>
          </w:p>
        </w:tc>
        <w:tc>
          <w:tcPr>
            <w:tcW w:w="3246"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Paper, Other</w:t>
            </w:r>
          </w:p>
        </w:tc>
        <w:tc>
          <w:tcPr>
            <w:tcW w:w="323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Pulp And Waste Paper</w:t>
            </w:r>
          </w:p>
        </w:tc>
        <w:tc>
          <w:tcPr>
            <w:tcW w:w="3246"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val="restart"/>
            <w:shd w:val="clear" w:color="auto" w:fill="F3F9E8" w:themeFill="accent5" w:themeFillTint="33"/>
            <w:vAlign w:val="top"/>
          </w:tcPr>
          <w:p w:rsidR="00DD40DD" w:rsidRPr="0010002D" w:rsidRDefault="00DD40DD" w:rsidP="008D19A7">
            <w:pPr>
              <w:pStyle w:val="Tables"/>
            </w:pPr>
            <w:r w:rsidRPr="0010002D">
              <w:t>Retail</w:t>
            </w:r>
          </w:p>
        </w:tc>
        <w:tc>
          <w:tcPr>
            <w:tcW w:w="3402"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Beer</w:t>
            </w:r>
          </w:p>
        </w:tc>
        <w:tc>
          <w:tcPr>
            <w:tcW w:w="3232"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Fabrics</w:t>
            </w:r>
          </w:p>
        </w:tc>
        <w:tc>
          <w:tcPr>
            <w:tcW w:w="3246"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Molasses</w:t>
            </w: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F3F9E8" w:themeFill="accent5" w:themeFillTint="33"/>
            <w:vAlign w:val="top"/>
          </w:tcPr>
          <w:p w:rsidR="00DD40DD" w:rsidRPr="0010002D" w:rsidRDefault="00DD40DD" w:rsidP="008D19A7">
            <w:pPr>
              <w:pStyle w:val="Tables"/>
            </w:pPr>
          </w:p>
        </w:tc>
        <w:tc>
          <w:tcPr>
            <w:tcW w:w="3402"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Builders Hardware</w:t>
            </w:r>
          </w:p>
        </w:tc>
        <w:tc>
          <w:tcPr>
            <w:tcW w:w="3232"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Fermented Beverages - Other</w:t>
            </w:r>
          </w:p>
        </w:tc>
        <w:tc>
          <w:tcPr>
            <w:tcW w:w="3246"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Non-Alcoholic Beverages</w:t>
            </w: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F3F9E8" w:themeFill="accent5" w:themeFillTint="33"/>
            <w:vAlign w:val="top"/>
          </w:tcPr>
          <w:p w:rsidR="00DD40DD" w:rsidRPr="0010002D" w:rsidRDefault="00DD40DD" w:rsidP="008D19A7">
            <w:pPr>
              <w:pStyle w:val="Tables"/>
            </w:pPr>
          </w:p>
        </w:tc>
        <w:tc>
          <w:tcPr>
            <w:tcW w:w="3402"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Cereal Products</w:t>
            </w:r>
          </w:p>
        </w:tc>
        <w:tc>
          <w:tcPr>
            <w:tcW w:w="3232"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Floor Coverings</w:t>
            </w:r>
          </w:p>
        </w:tc>
        <w:tc>
          <w:tcPr>
            <w:tcW w:w="3246"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Pet Foods</w:t>
            </w: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F3F9E8" w:themeFill="accent5" w:themeFillTint="33"/>
            <w:vAlign w:val="top"/>
          </w:tcPr>
          <w:p w:rsidR="00DD40DD" w:rsidRPr="0010002D" w:rsidRDefault="00DD40DD" w:rsidP="008D19A7">
            <w:pPr>
              <w:pStyle w:val="Tables"/>
            </w:pPr>
          </w:p>
        </w:tc>
        <w:tc>
          <w:tcPr>
            <w:tcW w:w="3402"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Clothing, Etc</w:t>
            </w:r>
          </w:p>
        </w:tc>
        <w:tc>
          <w:tcPr>
            <w:tcW w:w="3232"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Food Preparations, NEI</w:t>
            </w:r>
          </w:p>
        </w:tc>
        <w:tc>
          <w:tcPr>
            <w:tcW w:w="3246"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Plastic Ware</w:t>
            </w: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F3F9E8" w:themeFill="accent5" w:themeFillTint="33"/>
            <w:vAlign w:val="top"/>
          </w:tcPr>
          <w:p w:rsidR="00DD40DD" w:rsidRPr="0010002D" w:rsidRDefault="00DD40DD" w:rsidP="008D19A7">
            <w:pPr>
              <w:pStyle w:val="Tables"/>
            </w:pPr>
          </w:p>
        </w:tc>
        <w:tc>
          <w:tcPr>
            <w:tcW w:w="3402"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Cocoa And Beans</w:t>
            </w:r>
          </w:p>
        </w:tc>
        <w:tc>
          <w:tcPr>
            <w:tcW w:w="3232"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Furniture</w:t>
            </w:r>
          </w:p>
        </w:tc>
        <w:tc>
          <w:tcPr>
            <w:tcW w:w="3246"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Sugar Preparations</w:t>
            </w: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F3F9E8" w:themeFill="accent5" w:themeFillTint="33"/>
            <w:vAlign w:val="top"/>
          </w:tcPr>
          <w:p w:rsidR="00DD40DD" w:rsidRPr="0010002D" w:rsidRDefault="00DD40DD" w:rsidP="008D19A7">
            <w:pPr>
              <w:pStyle w:val="Tables"/>
            </w:pPr>
          </w:p>
        </w:tc>
        <w:tc>
          <w:tcPr>
            <w:tcW w:w="3402"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Coffee, NEI</w:t>
            </w:r>
          </w:p>
        </w:tc>
        <w:tc>
          <w:tcPr>
            <w:tcW w:w="3232"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Glass And Glassware</w:t>
            </w:r>
          </w:p>
        </w:tc>
        <w:tc>
          <w:tcPr>
            <w:tcW w:w="3246"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Textiles, NEI</w:t>
            </w: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F3F9E8" w:themeFill="accent5" w:themeFillTint="33"/>
            <w:vAlign w:val="top"/>
          </w:tcPr>
          <w:p w:rsidR="00DD40DD" w:rsidRPr="0010002D" w:rsidRDefault="00DD40DD" w:rsidP="008D19A7">
            <w:pPr>
              <w:pStyle w:val="Tables"/>
            </w:pPr>
          </w:p>
        </w:tc>
        <w:tc>
          <w:tcPr>
            <w:tcW w:w="3402"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Confectionery</w:t>
            </w:r>
          </w:p>
        </w:tc>
        <w:tc>
          <w:tcPr>
            <w:tcW w:w="3232"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Honey</w:t>
            </w:r>
          </w:p>
        </w:tc>
        <w:tc>
          <w:tcPr>
            <w:tcW w:w="3246"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Toys And Sporting Goods</w:t>
            </w: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F3F9E8" w:themeFill="accent5" w:themeFillTint="33"/>
            <w:vAlign w:val="top"/>
          </w:tcPr>
          <w:p w:rsidR="00DD40DD" w:rsidRPr="0010002D" w:rsidRDefault="00DD40DD" w:rsidP="008D19A7">
            <w:pPr>
              <w:pStyle w:val="Tables"/>
            </w:pPr>
          </w:p>
        </w:tc>
        <w:tc>
          <w:tcPr>
            <w:tcW w:w="3402"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Domestic Appliances</w:t>
            </w:r>
          </w:p>
        </w:tc>
        <w:tc>
          <w:tcPr>
            <w:tcW w:w="3232"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Metal Manufactures</w:t>
            </w:r>
          </w:p>
        </w:tc>
        <w:tc>
          <w:tcPr>
            <w:tcW w:w="3246" w:type="dxa"/>
            <w:shd w:val="clear" w:color="auto" w:fill="F3F9E8" w:themeFill="accent5" w:themeFillTint="33"/>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Travel Goods</w:t>
            </w: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F3F9E8" w:themeFill="accent5" w:themeFillTint="33"/>
            <w:vAlign w:val="top"/>
          </w:tcPr>
          <w:p w:rsidR="00DD40DD" w:rsidRPr="0010002D" w:rsidRDefault="00DD40DD" w:rsidP="008D19A7">
            <w:pPr>
              <w:pStyle w:val="Tables"/>
            </w:pPr>
          </w:p>
        </w:tc>
        <w:tc>
          <w:tcPr>
            <w:tcW w:w="3402"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Electrical Machinery</w:t>
            </w:r>
          </w:p>
        </w:tc>
        <w:tc>
          <w:tcPr>
            <w:tcW w:w="3232"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Misc. Food Preparations</w:t>
            </w:r>
          </w:p>
        </w:tc>
        <w:tc>
          <w:tcPr>
            <w:tcW w:w="3246" w:type="dxa"/>
            <w:shd w:val="clear" w:color="auto" w:fill="F3F9E8" w:themeFill="accent5" w:themeFillTint="33"/>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Yarns</w:t>
            </w: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val="restart"/>
            <w:shd w:val="clear" w:color="auto" w:fill="auto"/>
            <w:vAlign w:val="top"/>
          </w:tcPr>
          <w:p w:rsidR="00DD40DD" w:rsidRPr="0010002D" w:rsidRDefault="00DD40DD" w:rsidP="008D19A7">
            <w:pPr>
              <w:pStyle w:val="Tables"/>
            </w:pPr>
            <w:r w:rsidRPr="0010002D">
              <w:t>Other</w:t>
            </w:r>
          </w:p>
        </w:tc>
        <w:tc>
          <w:tcPr>
            <w:tcW w:w="340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Aircraft</w:t>
            </w:r>
          </w:p>
        </w:tc>
        <w:tc>
          <w:tcPr>
            <w:tcW w:w="323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Gas, Manuf. (LPG)</w:t>
            </w:r>
          </w:p>
        </w:tc>
        <w:tc>
          <w:tcPr>
            <w:tcW w:w="3246"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Tallow</w:t>
            </w: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Animal Oils - Other</w:t>
            </w:r>
          </w:p>
        </w:tc>
        <w:tc>
          <w:tcPr>
            <w:tcW w:w="323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Gas, Natural</w:t>
            </w:r>
          </w:p>
        </w:tc>
        <w:tc>
          <w:tcPr>
            <w:tcW w:w="3246"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Tobacco Manufactures</w:t>
            </w: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Armed Forces Goods</w:t>
            </w:r>
          </w:p>
        </w:tc>
        <w:tc>
          <w:tcPr>
            <w:tcW w:w="323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Mail</w:t>
            </w:r>
          </w:p>
        </w:tc>
        <w:tc>
          <w:tcPr>
            <w:tcW w:w="3246"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Tobacco, Raw</w:t>
            </w: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Briquettes</w:t>
            </w:r>
          </w:p>
        </w:tc>
        <w:tc>
          <w:tcPr>
            <w:tcW w:w="323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Oils, Fats, Wax</w:t>
            </w:r>
          </w:p>
        </w:tc>
        <w:tc>
          <w:tcPr>
            <w:tcW w:w="3246"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Vegetable Oils</w:t>
            </w:r>
          </w:p>
        </w:tc>
      </w:tr>
      <w:tr w:rsidR="00DD40DD" w:rsidRPr="0010002D" w:rsidTr="00822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Crude Animal Materials</w:t>
            </w:r>
          </w:p>
        </w:tc>
        <w:tc>
          <w:tcPr>
            <w:tcW w:w="3232"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Personal Effects</w:t>
            </w:r>
          </w:p>
        </w:tc>
        <w:tc>
          <w:tcPr>
            <w:tcW w:w="3246" w:type="dxa"/>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Water Craft</w:t>
            </w:r>
          </w:p>
        </w:tc>
      </w:tr>
      <w:tr w:rsidR="00DD40DD" w:rsidRPr="0010002D" w:rsidTr="00822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auto"/>
            <w:vAlign w:val="top"/>
          </w:tcPr>
          <w:p w:rsidR="00DD40DD" w:rsidRPr="0010002D" w:rsidRDefault="00DD40DD" w:rsidP="008D19A7">
            <w:pPr>
              <w:pStyle w:val="Tables"/>
            </w:pPr>
          </w:p>
        </w:tc>
        <w:tc>
          <w:tcPr>
            <w:tcW w:w="340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Crude Veg. Materials</w:t>
            </w:r>
          </w:p>
        </w:tc>
        <w:tc>
          <w:tcPr>
            <w:tcW w:w="3232"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r w:rsidRPr="0010002D">
              <w:t>Precision Goods</w:t>
            </w:r>
          </w:p>
        </w:tc>
        <w:tc>
          <w:tcPr>
            <w:tcW w:w="3246" w:type="dxa"/>
            <w:shd w:val="clear" w:color="auto" w:fill="auto"/>
            <w:vAlign w:val="top"/>
          </w:tcPr>
          <w:p w:rsidR="00DD40DD" w:rsidRPr="0010002D" w:rsidRDefault="00DD40DD" w:rsidP="008D19A7">
            <w:pPr>
              <w:pStyle w:val="Tables"/>
              <w:cnfStyle w:val="000000100000" w:firstRow="0" w:lastRow="0" w:firstColumn="0" w:lastColumn="0" w:oddVBand="0" w:evenVBand="0" w:oddHBand="1" w:evenHBand="0" w:firstRowFirstColumn="0" w:firstRowLastColumn="0" w:lastRowFirstColumn="0" w:lastRowLastColumn="0"/>
            </w:pPr>
          </w:p>
        </w:tc>
      </w:tr>
      <w:tr w:rsidR="00DD40DD" w:rsidRPr="0010002D" w:rsidTr="008228EC">
        <w:trPr>
          <w:cnfStyle w:val="000000010000" w:firstRow="0" w:lastRow="0" w:firstColumn="0" w:lastColumn="0" w:oddVBand="0" w:evenVBand="0" w:oddHBand="0" w:evenHBand="1"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377" w:type="dxa"/>
            <w:vMerge/>
            <w:tcBorders>
              <w:bottom w:val="single" w:sz="4" w:space="0" w:color="A6A6A6" w:themeColor="background1" w:themeShade="A6"/>
            </w:tcBorders>
            <w:shd w:val="clear" w:color="auto" w:fill="auto"/>
            <w:vAlign w:val="top"/>
          </w:tcPr>
          <w:p w:rsidR="00DD40DD" w:rsidRPr="0010002D" w:rsidRDefault="00DD40DD" w:rsidP="008D19A7">
            <w:pPr>
              <w:pStyle w:val="Tables"/>
            </w:pPr>
          </w:p>
        </w:tc>
        <w:tc>
          <w:tcPr>
            <w:tcW w:w="3402" w:type="dxa"/>
            <w:tcBorders>
              <w:bottom w:val="single" w:sz="4" w:space="0" w:color="A6A6A6" w:themeColor="background1" w:themeShade="A6"/>
            </w:tcBorders>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Essential Oils</w:t>
            </w:r>
          </w:p>
        </w:tc>
        <w:tc>
          <w:tcPr>
            <w:tcW w:w="3232" w:type="dxa"/>
            <w:tcBorders>
              <w:bottom w:val="single" w:sz="4" w:space="0" w:color="A6A6A6" w:themeColor="background1" w:themeShade="A6"/>
            </w:tcBorders>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r w:rsidRPr="0010002D">
              <w:t>Rubber, Other</w:t>
            </w:r>
          </w:p>
        </w:tc>
        <w:tc>
          <w:tcPr>
            <w:tcW w:w="3246" w:type="dxa"/>
            <w:tcBorders>
              <w:bottom w:val="single" w:sz="4" w:space="0" w:color="A6A6A6" w:themeColor="background1" w:themeShade="A6"/>
            </w:tcBorders>
            <w:shd w:val="clear" w:color="auto" w:fill="auto"/>
            <w:vAlign w:val="top"/>
          </w:tcPr>
          <w:p w:rsidR="00DD40DD" w:rsidRPr="0010002D" w:rsidRDefault="00DD40DD" w:rsidP="008D19A7">
            <w:pPr>
              <w:pStyle w:val="Tables"/>
              <w:cnfStyle w:val="000000010000" w:firstRow="0" w:lastRow="0" w:firstColumn="0" w:lastColumn="0" w:oddVBand="0" w:evenVBand="0" w:oddHBand="0" w:evenHBand="1" w:firstRowFirstColumn="0" w:firstRowLastColumn="0" w:lastRowFirstColumn="0" w:lastRowLastColumn="0"/>
            </w:pPr>
          </w:p>
        </w:tc>
      </w:tr>
    </w:tbl>
    <w:p w:rsidR="00DB6A1A" w:rsidRPr="0010002D" w:rsidRDefault="00DB6A1A" w:rsidP="00C350BA"/>
    <w:p w:rsidR="004178EF" w:rsidRDefault="004178EF">
      <w:pPr>
        <w:rPr>
          <w:bCs/>
        </w:rPr>
      </w:pPr>
    </w:p>
    <w:p w:rsidR="004178EF" w:rsidRDefault="004178EF">
      <w:pPr>
        <w:rPr>
          <w:bCs/>
        </w:rPr>
      </w:pPr>
    </w:p>
    <w:p w:rsidR="004178EF" w:rsidRDefault="004178EF">
      <w:pPr>
        <w:rPr>
          <w:bCs/>
        </w:rPr>
      </w:pPr>
    </w:p>
    <w:p w:rsidR="004178EF" w:rsidRDefault="004178EF">
      <w:pPr>
        <w:spacing w:after="200"/>
        <w:jc w:val="left"/>
        <w:rPr>
          <w:bCs/>
        </w:rPr>
      </w:pPr>
      <w:r>
        <w:rPr>
          <w:bC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1"/>
      </w:tblGrid>
      <w:tr w:rsidR="00DB6A1A" w:rsidRPr="0010002D" w:rsidTr="00974975">
        <w:trPr>
          <w:trHeight w:val="3308"/>
        </w:trPr>
        <w:tc>
          <w:tcPr>
            <w:tcW w:w="5000" w:type="pct"/>
          </w:tcPr>
          <w:p w:rsidR="00DB6A1A" w:rsidRPr="0010002D" w:rsidRDefault="00DB6A1A" w:rsidP="00C350BA">
            <w:pPr>
              <w:pStyle w:val="PartHeading"/>
            </w:pPr>
            <w:bookmarkStart w:id="311" w:name="_Toc358293438"/>
            <w:bookmarkStart w:id="312" w:name="_Toc358293353"/>
            <w:bookmarkStart w:id="313" w:name="_Toc358067697"/>
            <w:bookmarkStart w:id="314" w:name="_Toc358802479"/>
            <w:bookmarkStart w:id="315" w:name="_Toc361388926"/>
            <w:r w:rsidRPr="0010002D">
              <w:t xml:space="preserve">Appendix </w:t>
            </w:r>
            <w:bookmarkEnd w:id="311"/>
            <w:bookmarkEnd w:id="312"/>
            <w:r w:rsidR="00CA7023">
              <w:fldChar w:fldCharType="begin"/>
            </w:r>
            <w:r w:rsidR="00AD43D6">
              <w:instrText xml:space="preserve"> SEQ Appendix\* ALPHABETIC\n  \* MERGEFORMAT </w:instrText>
            </w:r>
            <w:r w:rsidR="00CA7023">
              <w:fldChar w:fldCharType="separate"/>
            </w:r>
            <w:r w:rsidR="00FF5EB2">
              <w:rPr>
                <w:noProof/>
              </w:rPr>
              <w:t>C</w:t>
            </w:r>
            <w:bookmarkEnd w:id="313"/>
            <w:bookmarkEnd w:id="314"/>
            <w:bookmarkEnd w:id="315"/>
            <w:r w:rsidR="00CA7023">
              <w:rPr>
                <w:noProof/>
              </w:rPr>
              <w:fldChar w:fldCharType="end"/>
            </w:r>
          </w:p>
          <w:bookmarkStart w:id="316" w:name="_Toc367700254"/>
          <w:p w:rsidR="00DB6A1A" w:rsidRPr="0010002D" w:rsidRDefault="001474D4" w:rsidP="008B1A70">
            <w:pPr>
              <w:pStyle w:val="Heading2"/>
              <w:outlineLvl w:val="1"/>
            </w:pPr>
            <w:sdt>
              <w:sdtPr>
                <w:alias w:val="Appendix Heading"/>
                <w:tag w:val="AppendixHeading"/>
                <w:id w:val="2084563937"/>
                <w:text w:multiLine="1"/>
              </w:sdtPr>
              <w:sdtEndPr/>
              <w:sdtContent>
                <w:r w:rsidR="00622A3D" w:rsidRPr="003077CE">
                  <w:t>References</w:t>
                </w:r>
              </w:sdtContent>
            </w:sdt>
            <w:bookmarkEnd w:id="316"/>
          </w:p>
        </w:tc>
      </w:tr>
    </w:tbl>
    <w:p w:rsidR="00DB6A1A" w:rsidRPr="0010002D" w:rsidRDefault="00DB6A1A" w:rsidP="002148CE">
      <w:pPr>
        <w:pStyle w:val="ListParagraph"/>
        <w:numPr>
          <w:ilvl w:val="0"/>
          <w:numId w:val="9"/>
        </w:numPr>
      </w:pPr>
      <w:r w:rsidRPr="0010002D">
        <w:t>Department</w:t>
      </w:r>
      <w:r w:rsidR="003077CE">
        <w:t xml:space="preserve"> of </w:t>
      </w:r>
      <w:r w:rsidR="009127F6">
        <w:t>Infrastructure, Energy and Resources</w:t>
      </w:r>
      <w:r w:rsidRPr="0010002D">
        <w:t>; Tasmania</w:t>
      </w:r>
      <w:r w:rsidR="003077CE">
        <w:t>n</w:t>
      </w:r>
      <w:r w:rsidRPr="0010002D">
        <w:t xml:space="preserve"> State Government</w:t>
      </w:r>
    </w:p>
    <w:p w:rsidR="00DB6A1A" w:rsidRPr="0010002D" w:rsidRDefault="00DB6A1A" w:rsidP="002148CE">
      <w:pPr>
        <w:pStyle w:val="ListParagraph"/>
        <w:numPr>
          <w:ilvl w:val="1"/>
          <w:numId w:val="9"/>
        </w:numPr>
      </w:pPr>
      <w:r w:rsidRPr="0010002D">
        <w:t>Tasmanian Freight Survey 2008/09</w:t>
      </w:r>
    </w:p>
    <w:p w:rsidR="00DB6A1A" w:rsidRPr="0010002D" w:rsidRDefault="00DB6A1A" w:rsidP="002148CE">
      <w:pPr>
        <w:pStyle w:val="ListParagraph"/>
        <w:numPr>
          <w:ilvl w:val="1"/>
          <w:numId w:val="9"/>
        </w:numPr>
      </w:pPr>
      <w:r w:rsidRPr="0010002D">
        <w:t>Major Industrial Sites Tasmania: 2011</w:t>
      </w:r>
    </w:p>
    <w:p w:rsidR="00DB6A1A" w:rsidRPr="0010002D" w:rsidRDefault="00DB6A1A" w:rsidP="002148CE">
      <w:pPr>
        <w:pStyle w:val="ListParagraph"/>
        <w:numPr>
          <w:ilvl w:val="1"/>
          <w:numId w:val="9"/>
        </w:numPr>
      </w:pPr>
      <w:r w:rsidRPr="0010002D">
        <w:t>Tasmania International Exports: 2011/12</w:t>
      </w:r>
    </w:p>
    <w:p w:rsidR="00DB6A1A" w:rsidRDefault="00DB6A1A" w:rsidP="002148CE">
      <w:pPr>
        <w:pStyle w:val="ListParagraph"/>
        <w:numPr>
          <w:ilvl w:val="1"/>
          <w:numId w:val="9"/>
        </w:numPr>
      </w:pPr>
      <w:r w:rsidRPr="0010002D">
        <w:t>2012 Transport Submission to Infrastructure Australia</w:t>
      </w:r>
    </w:p>
    <w:p w:rsidR="009127F6" w:rsidRPr="0010002D" w:rsidRDefault="009127F6" w:rsidP="009127F6">
      <w:pPr>
        <w:pStyle w:val="ListParagraph"/>
        <w:numPr>
          <w:ilvl w:val="1"/>
          <w:numId w:val="9"/>
        </w:numPr>
      </w:pPr>
      <w:r w:rsidRPr="0010002D">
        <w:t>Western Tasmania Industry Infrastructure Study (May 2012)</w:t>
      </w:r>
      <w:r>
        <w:t>, Sinclair Knight Merz Pty Ltd</w:t>
      </w:r>
    </w:p>
    <w:p w:rsidR="003077CE" w:rsidRPr="0010002D" w:rsidRDefault="00456D84" w:rsidP="008B1A70">
      <w:pPr>
        <w:pStyle w:val="ListParagraph"/>
        <w:ind w:left="1440"/>
      </w:pPr>
      <w:r w:rsidRPr="0010002D">
        <w:t>International Container Shipping Service Viability For Tasmania (19 February 2013)</w:t>
      </w:r>
      <w:r>
        <w:t>, GPS Logistics (Tas) Pty Ltd</w:t>
      </w:r>
    </w:p>
    <w:p w:rsidR="009127F6" w:rsidRPr="0010002D" w:rsidRDefault="009127F6" w:rsidP="008B1A70">
      <w:pPr>
        <w:pStyle w:val="ListParagraph"/>
        <w:ind w:left="1440"/>
      </w:pPr>
    </w:p>
    <w:p w:rsidR="00DB6A1A" w:rsidRPr="0010002D" w:rsidRDefault="00DB6A1A" w:rsidP="002148CE">
      <w:pPr>
        <w:pStyle w:val="ListParagraph"/>
        <w:numPr>
          <w:ilvl w:val="0"/>
          <w:numId w:val="9"/>
        </w:numPr>
      </w:pPr>
      <w:r w:rsidRPr="0010002D">
        <w:t>Tasmanian Ports Corporation Pty Ltd (Tas</w:t>
      </w:r>
      <w:r w:rsidR="009127F6">
        <w:t>P</w:t>
      </w:r>
      <w:r w:rsidRPr="0010002D">
        <w:t>orts)</w:t>
      </w:r>
    </w:p>
    <w:p w:rsidR="00DB6A1A" w:rsidRPr="0010002D" w:rsidRDefault="00DB6A1A" w:rsidP="002148CE">
      <w:pPr>
        <w:pStyle w:val="ListParagraph"/>
        <w:numPr>
          <w:ilvl w:val="1"/>
          <w:numId w:val="9"/>
        </w:numPr>
      </w:pPr>
      <w:r w:rsidRPr="0010002D">
        <w:t>Annual Report 2011/12</w:t>
      </w:r>
    </w:p>
    <w:p w:rsidR="00DB6A1A" w:rsidRDefault="00DB6A1A" w:rsidP="002148CE">
      <w:pPr>
        <w:pStyle w:val="ListParagraph"/>
        <w:numPr>
          <w:ilvl w:val="1"/>
          <w:numId w:val="9"/>
        </w:numPr>
      </w:pPr>
      <w:r w:rsidRPr="0010002D">
        <w:t>Annual Report 2008/09</w:t>
      </w:r>
    </w:p>
    <w:p w:rsidR="003077CE" w:rsidRPr="0010002D" w:rsidRDefault="003077CE" w:rsidP="008B1A70">
      <w:pPr>
        <w:pStyle w:val="ListParagraph"/>
        <w:ind w:left="1440"/>
      </w:pPr>
    </w:p>
    <w:p w:rsidR="00DB6A1A" w:rsidRPr="0010002D" w:rsidRDefault="00DB6A1A" w:rsidP="002148CE">
      <w:pPr>
        <w:pStyle w:val="ListParagraph"/>
        <w:numPr>
          <w:ilvl w:val="0"/>
          <w:numId w:val="9"/>
        </w:numPr>
      </w:pPr>
      <w:r w:rsidRPr="0010002D">
        <w:t>Meyrick Consulting Group Pty Ltd</w:t>
      </w:r>
    </w:p>
    <w:p w:rsidR="00DB6A1A" w:rsidRDefault="00DB6A1A" w:rsidP="002148CE">
      <w:pPr>
        <w:pStyle w:val="ListParagraph"/>
        <w:numPr>
          <w:ilvl w:val="1"/>
          <w:numId w:val="9"/>
        </w:numPr>
      </w:pPr>
      <w:r w:rsidRPr="0010002D">
        <w:t>International and Domestic Shipping and Ports Study (1</w:t>
      </w:r>
      <w:r w:rsidRPr="0010002D">
        <w:rPr>
          <w:vertAlign w:val="superscript"/>
        </w:rPr>
        <w:t>st</w:t>
      </w:r>
      <w:r w:rsidRPr="0010002D">
        <w:t xml:space="preserve"> May 2007)</w:t>
      </w:r>
    </w:p>
    <w:p w:rsidR="003077CE" w:rsidRPr="0010002D" w:rsidRDefault="003077CE" w:rsidP="008B1A70">
      <w:pPr>
        <w:pStyle w:val="ListParagraph"/>
        <w:ind w:left="1440"/>
      </w:pPr>
    </w:p>
    <w:p w:rsidR="00DB6A1A" w:rsidRPr="0010002D" w:rsidRDefault="00DB6A1A" w:rsidP="002148CE">
      <w:pPr>
        <w:pStyle w:val="ListParagraph"/>
        <w:numPr>
          <w:ilvl w:val="0"/>
          <w:numId w:val="9"/>
        </w:numPr>
      </w:pPr>
      <w:r w:rsidRPr="0010002D">
        <w:t>Sinclair Knight Merz Pty Ltd</w:t>
      </w:r>
    </w:p>
    <w:p w:rsidR="00DB6A1A" w:rsidRDefault="00DB6A1A" w:rsidP="002148CE">
      <w:pPr>
        <w:pStyle w:val="ListParagraph"/>
        <w:numPr>
          <w:ilvl w:val="1"/>
          <w:numId w:val="9"/>
        </w:numPr>
      </w:pPr>
      <w:r w:rsidRPr="0010002D">
        <w:t>Historic Freight Rate Data And Review Of Tasmania Freight Equalisation Scheme And Tasmania Wheat Freight Scheme (30 April 2008)</w:t>
      </w:r>
    </w:p>
    <w:p w:rsidR="003077CE" w:rsidRPr="0010002D" w:rsidRDefault="003077CE" w:rsidP="008B1A70">
      <w:pPr>
        <w:pStyle w:val="ListParagraph"/>
        <w:ind w:left="1440"/>
      </w:pPr>
    </w:p>
    <w:p w:rsidR="00DB6A1A" w:rsidRPr="0010002D" w:rsidRDefault="00DB6A1A" w:rsidP="002148CE">
      <w:pPr>
        <w:pStyle w:val="ListParagraph"/>
        <w:numPr>
          <w:ilvl w:val="0"/>
          <w:numId w:val="9"/>
        </w:numPr>
      </w:pPr>
      <w:r w:rsidRPr="0010002D">
        <w:t>Department of Infrastructure, Transport, Regional Development and Local Government; Australia</w:t>
      </w:r>
      <w:r w:rsidR="003077CE">
        <w:t>n</w:t>
      </w:r>
      <w:r w:rsidRPr="0010002D">
        <w:t xml:space="preserve"> Government</w:t>
      </w:r>
    </w:p>
    <w:p w:rsidR="00DB6A1A" w:rsidRPr="0010002D" w:rsidRDefault="00DB6A1A" w:rsidP="002148CE">
      <w:pPr>
        <w:pStyle w:val="ListParagraph"/>
        <w:numPr>
          <w:ilvl w:val="1"/>
          <w:numId w:val="9"/>
        </w:numPr>
      </w:pPr>
      <w:r w:rsidRPr="0010002D">
        <w:t xml:space="preserve">Australian </w:t>
      </w:r>
      <w:r w:rsidR="005033BF">
        <w:t>S</w:t>
      </w:r>
      <w:r w:rsidRPr="0010002D">
        <w:t xml:space="preserve">ea </w:t>
      </w:r>
      <w:r w:rsidR="005033BF">
        <w:t>F</w:t>
      </w:r>
      <w:r w:rsidRPr="0010002D">
        <w:t>reight 2009–10 (September 2011)</w:t>
      </w:r>
    </w:p>
    <w:p w:rsidR="00DB6A1A" w:rsidRPr="0010002D" w:rsidRDefault="00DB6A1A" w:rsidP="002148CE">
      <w:pPr>
        <w:pStyle w:val="ListParagraph"/>
        <w:numPr>
          <w:ilvl w:val="1"/>
          <w:numId w:val="9"/>
        </w:numPr>
      </w:pPr>
      <w:r w:rsidRPr="0010002D">
        <w:t xml:space="preserve">Statistical </w:t>
      </w:r>
      <w:r w:rsidR="005033BF">
        <w:t>R</w:t>
      </w:r>
      <w:r w:rsidRPr="0010002D">
        <w:t xml:space="preserve">eport Australian </w:t>
      </w:r>
      <w:r w:rsidR="005033BF">
        <w:t>S</w:t>
      </w:r>
      <w:r w:rsidRPr="0010002D">
        <w:t xml:space="preserve">ea </w:t>
      </w:r>
      <w:r w:rsidR="005033BF">
        <w:t>F</w:t>
      </w:r>
      <w:r w:rsidRPr="0010002D">
        <w:t>reight 2010–11 (October 2012)</w:t>
      </w:r>
    </w:p>
    <w:p w:rsidR="00DB6A1A" w:rsidRPr="0010002D" w:rsidRDefault="00DB6A1A" w:rsidP="002148CE">
      <w:pPr>
        <w:pStyle w:val="ListParagraph"/>
        <w:numPr>
          <w:ilvl w:val="1"/>
          <w:numId w:val="9"/>
        </w:numPr>
      </w:pPr>
      <w:r w:rsidRPr="0010002D">
        <w:t>Tasmanian Freight Schemes Parameter Review (October 2011)</w:t>
      </w:r>
    </w:p>
    <w:p w:rsidR="00DB6A1A" w:rsidRPr="0010002D" w:rsidRDefault="00DB6A1A" w:rsidP="002148CE">
      <w:pPr>
        <w:pStyle w:val="ListParagraph"/>
        <w:numPr>
          <w:ilvl w:val="1"/>
          <w:numId w:val="9"/>
        </w:numPr>
      </w:pPr>
      <w:r w:rsidRPr="0010002D">
        <w:t xml:space="preserve">Freight </w:t>
      </w:r>
      <w:r w:rsidR="005033BF">
        <w:t>R</w:t>
      </w:r>
      <w:r w:rsidRPr="0010002D">
        <w:t>ates in Australia 1964–65 to 2007–08 (Information Sheet 28; October 2008)</w:t>
      </w:r>
    </w:p>
    <w:p w:rsidR="00DB6A1A" w:rsidRPr="0010002D" w:rsidRDefault="00DB6A1A" w:rsidP="002148CE">
      <w:pPr>
        <w:pStyle w:val="ListParagraph"/>
        <w:numPr>
          <w:ilvl w:val="1"/>
          <w:numId w:val="9"/>
        </w:numPr>
      </w:pPr>
      <w:r w:rsidRPr="0010002D">
        <w:t>Road Freight Estimates And Forecasts In Australia: Interstate, Capital Cities And Rest Of State (Report 121; September 2010)</w:t>
      </w:r>
    </w:p>
    <w:p w:rsidR="00DB6A1A" w:rsidRPr="0010002D" w:rsidRDefault="00DB6A1A" w:rsidP="002148CE">
      <w:pPr>
        <w:pStyle w:val="ListParagraph"/>
        <w:numPr>
          <w:ilvl w:val="1"/>
          <w:numId w:val="9"/>
        </w:numPr>
      </w:pPr>
      <w:r w:rsidRPr="0010002D">
        <w:t xml:space="preserve">A </w:t>
      </w:r>
      <w:r w:rsidR="005033BF">
        <w:t>R</w:t>
      </w:r>
      <w:r w:rsidRPr="0010002D">
        <w:t xml:space="preserve">egional </w:t>
      </w:r>
      <w:r w:rsidR="005033BF">
        <w:t>E</w:t>
      </w:r>
      <w:r w:rsidRPr="0010002D">
        <w:t>conomy: a case study of Tasmania (Report 116; October 2008)</w:t>
      </w:r>
    </w:p>
    <w:p w:rsidR="00DB6A1A" w:rsidRPr="0010002D" w:rsidRDefault="00DB6A1A" w:rsidP="002148CE">
      <w:pPr>
        <w:pStyle w:val="ListParagraph"/>
        <w:numPr>
          <w:ilvl w:val="1"/>
          <w:numId w:val="9"/>
        </w:numPr>
      </w:pPr>
      <w:r w:rsidRPr="0010002D">
        <w:t xml:space="preserve">Truck </w:t>
      </w:r>
      <w:r w:rsidR="00456D84">
        <w:t>P</w:t>
      </w:r>
      <w:r w:rsidRPr="0010002D">
        <w:t>roductivity: sources, trends and future prospects (Report 123; March 2011)</w:t>
      </w:r>
    </w:p>
    <w:p w:rsidR="00DB6A1A" w:rsidRPr="0010002D" w:rsidRDefault="00DB6A1A" w:rsidP="002148CE">
      <w:pPr>
        <w:pStyle w:val="ListParagraph"/>
        <w:numPr>
          <w:ilvl w:val="1"/>
          <w:numId w:val="9"/>
        </w:numPr>
      </w:pPr>
      <w:r w:rsidRPr="0010002D">
        <w:t>Tasmania Corridor Strategy (2007)</w:t>
      </w:r>
    </w:p>
    <w:p w:rsidR="00DB6A1A" w:rsidRDefault="00DB6A1A" w:rsidP="002148CE">
      <w:pPr>
        <w:pStyle w:val="ListParagraph"/>
        <w:numPr>
          <w:ilvl w:val="1"/>
          <w:numId w:val="9"/>
        </w:numPr>
      </w:pPr>
      <w:r w:rsidRPr="0010002D">
        <w:t>Tasmanian Freight Equalisation Scheme Ministerial Directions 2008 (November 2009)</w:t>
      </w:r>
    </w:p>
    <w:p w:rsidR="003077CE" w:rsidRPr="0010002D" w:rsidRDefault="003077CE" w:rsidP="008B1A70">
      <w:pPr>
        <w:pStyle w:val="ListParagraph"/>
        <w:ind w:left="1440"/>
      </w:pPr>
    </w:p>
    <w:p w:rsidR="00DB6A1A" w:rsidRPr="0010002D" w:rsidRDefault="00DB6A1A" w:rsidP="002148CE">
      <w:pPr>
        <w:pStyle w:val="ListParagraph"/>
        <w:numPr>
          <w:ilvl w:val="0"/>
          <w:numId w:val="9"/>
        </w:numPr>
      </w:pPr>
      <w:r w:rsidRPr="0010002D">
        <w:t>Tasmanian Railway Pty Ltd (Tas</w:t>
      </w:r>
      <w:r w:rsidR="00456D84">
        <w:t>R</w:t>
      </w:r>
      <w:r w:rsidRPr="0010002D">
        <w:t>ail)</w:t>
      </w:r>
    </w:p>
    <w:p w:rsidR="00DB6A1A" w:rsidRPr="0010002D" w:rsidRDefault="00DB6A1A" w:rsidP="002148CE">
      <w:pPr>
        <w:pStyle w:val="ListParagraph"/>
        <w:numPr>
          <w:ilvl w:val="1"/>
          <w:numId w:val="9"/>
        </w:numPr>
      </w:pPr>
      <w:r w:rsidRPr="0010002D">
        <w:t>Annual Report 2012</w:t>
      </w:r>
    </w:p>
    <w:p w:rsidR="00DB6A1A" w:rsidRPr="0010002D" w:rsidRDefault="00DB6A1A" w:rsidP="002148CE">
      <w:pPr>
        <w:pStyle w:val="ListParagraph"/>
        <w:numPr>
          <w:ilvl w:val="0"/>
          <w:numId w:val="9"/>
        </w:numPr>
      </w:pPr>
      <w:r w:rsidRPr="0010002D">
        <w:t xml:space="preserve">Tasmanian Freight Logistics Council (TFLC) </w:t>
      </w:r>
    </w:p>
    <w:p w:rsidR="00DB6A1A" w:rsidRDefault="00DB6A1A" w:rsidP="002148CE">
      <w:pPr>
        <w:pStyle w:val="ListParagraph"/>
        <w:numPr>
          <w:ilvl w:val="1"/>
          <w:numId w:val="9"/>
        </w:numPr>
      </w:pPr>
      <w:r w:rsidRPr="0010002D">
        <w:t>Tasmanian Freight Logistics Council Annual Report 2011/12</w:t>
      </w:r>
    </w:p>
    <w:p w:rsidR="003077CE" w:rsidRPr="0010002D" w:rsidRDefault="003077CE" w:rsidP="008B1A70">
      <w:pPr>
        <w:pStyle w:val="ListParagraph"/>
        <w:ind w:left="1440"/>
      </w:pPr>
    </w:p>
    <w:p w:rsidR="00DB6A1A" w:rsidRPr="0010002D" w:rsidRDefault="00DB6A1A" w:rsidP="002148CE">
      <w:pPr>
        <w:pStyle w:val="ListParagraph"/>
        <w:numPr>
          <w:ilvl w:val="0"/>
          <w:numId w:val="9"/>
        </w:numPr>
      </w:pPr>
      <w:r w:rsidRPr="0010002D">
        <w:t>Tasmania Audit Office; Tasmania State Government</w:t>
      </w:r>
    </w:p>
    <w:p w:rsidR="003077CE" w:rsidRPr="0010002D" w:rsidRDefault="00DB6A1A" w:rsidP="002148CE">
      <w:pPr>
        <w:pStyle w:val="ListParagraph"/>
        <w:numPr>
          <w:ilvl w:val="1"/>
          <w:numId w:val="9"/>
        </w:numPr>
      </w:pPr>
      <w:r w:rsidRPr="0010002D">
        <w:t>TasPorts: Benefits of Amalgamation; Report of the Auditor-General, No. 2 of 2012/13</w:t>
      </w:r>
    </w:p>
    <w:p w:rsidR="00DB6A1A" w:rsidRPr="0010002D" w:rsidRDefault="00DB6A1A" w:rsidP="008B1A70">
      <w:pPr>
        <w:pStyle w:val="ListParagraph"/>
        <w:ind w:left="1440"/>
      </w:pPr>
    </w:p>
    <w:p w:rsidR="00DB6A1A" w:rsidRPr="0010002D" w:rsidRDefault="00DB6A1A" w:rsidP="002148CE">
      <w:pPr>
        <w:pStyle w:val="ListParagraph"/>
        <w:numPr>
          <w:ilvl w:val="0"/>
          <w:numId w:val="9"/>
        </w:numPr>
      </w:pPr>
      <w:r w:rsidRPr="0010002D">
        <w:t>MMC Link Pty Ltd</w:t>
      </w:r>
    </w:p>
    <w:p w:rsidR="00DB6A1A" w:rsidRDefault="00DB6A1A" w:rsidP="002148CE">
      <w:pPr>
        <w:pStyle w:val="ListParagraph"/>
        <w:numPr>
          <w:ilvl w:val="1"/>
          <w:numId w:val="9"/>
        </w:numPr>
      </w:pPr>
      <w:r w:rsidRPr="0010002D">
        <w:t>Containerised Freight Specialisation at the Port of Bell Bay: A Cost-Benefit Analysis (September 2012)</w:t>
      </w:r>
    </w:p>
    <w:p w:rsidR="003077CE" w:rsidRPr="0010002D" w:rsidRDefault="003077CE" w:rsidP="008B1A70">
      <w:pPr>
        <w:pStyle w:val="ListParagraph"/>
        <w:ind w:left="1440"/>
      </w:pPr>
    </w:p>
    <w:p w:rsidR="00DB6A1A" w:rsidRPr="0010002D" w:rsidRDefault="00DB6A1A" w:rsidP="002148CE">
      <w:pPr>
        <w:pStyle w:val="ListParagraph"/>
        <w:numPr>
          <w:ilvl w:val="0"/>
          <w:numId w:val="9"/>
        </w:numPr>
      </w:pPr>
      <w:r w:rsidRPr="0010002D">
        <w:t>Davey &amp; Maynard Pty Ltd &amp; Eio Pty Ltd</w:t>
      </w:r>
    </w:p>
    <w:p w:rsidR="00DB6A1A" w:rsidRDefault="00DB6A1A" w:rsidP="002148CE">
      <w:pPr>
        <w:pStyle w:val="ListParagraph"/>
        <w:numPr>
          <w:ilvl w:val="1"/>
          <w:numId w:val="9"/>
        </w:numPr>
      </w:pPr>
      <w:r w:rsidRPr="0010002D">
        <w:t>Assessment of Circular Head and West Coast Freight Demand (30 January 2007)</w:t>
      </w:r>
    </w:p>
    <w:p w:rsidR="003077CE" w:rsidRPr="0010002D" w:rsidRDefault="003077CE" w:rsidP="008B1A70">
      <w:pPr>
        <w:pStyle w:val="ListParagraph"/>
        <w:ind w:left="1440"/>
      </w:pPr>
    </w:p>
    <w:p w:rsidR="00DB6A1A" w:rsidRPr="0010002D" w:rsidRDefault="00DB6A1A" w:rsidP="002148CE">
      <w:pPr>
        <w:pStyle w:val="ListParagraph"/>
        <w:numPr>
          <w:ilvl w:val="0"/>
          <w:numId w:val="9"/>
        </w:numPr>
      </w:pPr>
      <w:r w:rsidRPr="0010002D">
        <w:t xml:space="preserve">PricewaterhouseCoopers New Zealand </w:t>
      </w:r>
    </w:p>
    <w:p w:rsidR="00DB6A1A" w:rsidRDefault="00DB6A1A" w:rsidP="002148CE">
      <w:pPr>
        <w:pStyle w:val="ListParagraph"/>
        <w:numPr>
          <w:ilvl w:val="1"/>
          <w:numId w:val="9"/>
        </w:numPr>
      </w:pPr>
      <w:r w:rsidRPr="0010002D">
        <w:t>Upper North Island Port And Port-Related Infrastructure Supply And Demand Study (November 2012); Economic Development, Auckland Council</w:t>
      </w:r>
    </w:p>
    <w:p w:rsidR="003077CE" w:rsidRPr="0010002D" w:rsidRDefault="003077CE" w:rsidP="008B1A70">
      <w:pPr>
        <w:pStyle w:val="ListParagraph"/>
        <w:ind w:left="1440"/>
      </w:pPr>
    </w:p>
    <w:p w:rsidR="00DB6A1A" w:rsidRPr="0010002D" w:rsidRDefault="00DB6A1A" w:rsidP="002148CE">
      <w:pPr>
        <w:pStyle w:val="ListParagraph"/>
        <w:numPr>
          <w:ilvl w:val="0"/>
          <w:numId w:val="9"/>
        </w:numPr>
      </w:pPr>
      <w:r w:rsidRPr="0010002D">
        <w:t>Parliamentary Standing Committee On Public Works, Parliament Of Tasmania</w:t>
      </w:r>
    </w:p>
    <w:p w:rsidR="00DB6A1A" w:rsidRDefault="00DB6A1A" w:rsidP="002148CE">
      <w:pPr>
        <w:pStyle w:val="ListParagraph"/>
        <w:numPr>
          <w:ilvl w:val="1"/>
          <w:numId w:val="9"/>
        </w:numPr>
      </w:pPr>
      <w:r w:rsidRPr="0010002D">
        <w:t>Brighton Transport Hub Project (2008)</w:t>
      </w:r>
    </w:p>
    <w:p w:rsidR="003077CE" w:rsidRPr="0010002D" w:rsidRDefault="003077CE" w:rsidP="008B1A70">
      <w:pPr>
        <w:pStyle w:val="ListParagraph"/>
        <w:ind w:left="1440"/>
      </w:pPr>
    </w:p>
    <w:p w:rsidR="00DB6A1A" w:rsidRPr="0010002D" w:rsidRDefault="00DB6A1A" w:rsidP="002148CE">
      <w:pPr>
        <w:pStyle w:val="ListParagraph"/>
        <w:numPr>
          <w:ilvl w:val="0"/>
          <w:numId w:val="9"/>
        </w:numPr>
      </w:pPr>
      <w:r w:rsidRPr="0010002D">
        <w:t xml:space="preserve">InterTradeIreland </w:t>
      </w:r>
    </w:p>
    <w:p w:rsidR="00DB6A1A" w:rsidRDefault="00DB6A1A" w:rsidP="002148CE">
      <w:pPr>
        <w:pStyle w:val="ListParagraph"/>
        <w:numPr>
          <w:ilvl w:val="1"/>
          <w:numId w:val="9"/>
        </w:numPr>
      </w:pPr>
      <w:r w:rsidRPr="0010002D">
        <w:t>Freight Transport Report for the Island of Ireland (March 2008)</w:t>
      </w:r>
    </w:p>
    <w:p w:rsidR="003077CE" w:rsidRPr="0010002D" w:rsidRDefault="003077CE" w:rsidP="008B1A70">
      <w:pPr>
        <w:pStyle w:val="ListParagraph"/>
        <w:ind w:left="1440"/>
      </w:pPr>
    </w:p>
    <w:p w:rsidR="00DB6A1A" w:rsidRPr="0010002D" w:rsidRDefault="00DB6A1A" w:rsidP="002148CE">
      <w:pPr>
        <w:pStyle w:val="ListParagraph"/>
        <w:numPr>
          <w:ilvl w:val="0"/>
          <w:numId w:val="9"/>
        </w:numPr>
      </w:pPr>
      <w:r w:rsidRPr="0010002D">
        <w:t>Deloitte Access Economics Pty Ltd</w:t>
      </w:r>
    </w:p>
    <w:p w:rsidR="00DB6A1A" w:rsidRDefault="00DB6A1A" w:rsidP="002148CE">
      <w:pPr>
        <w:pStyle w:val="ListParagraph"/>
        <w:numPr>
          <w:ilvl w:val="1"/>
          <w:numId w:val="9"/>
        </w:numPr>
      </w:pPr>
      <w:r w:rsidRPr="0010002D">
        <w:t>Economic impacts of the proposed Shipping Reform Package (February 2012)</w:t>
      </w:r>
    </w:p>
    <w:p w:rsidR="003077CE" w:rsidRPr="0010002D" w:rsidRDefault="003077CE" w:rsidP="008B1A70">
      <w:pPr>
        <w:pStyle w:val="ListParagraph"/>
        <w:ind w:left="1440"/>
      </w:pPr>
    </w:p>
    <w:p w:rsidR="00DB6A1A" w:rsidRPr="0010002D" w:rsidRDefault="00DB6A1A" w:rsidP="002148CE">
      <w:pPr>
        <w:pStyle w:val="ListParagraph"/>
        <w:numPr>
          <w:ilvl w:val="0"/>
          <w:numId w:val="9"/>
        </w:numPr>
      </w:pPr>
      <w:r w:rsidRPr="0010002D">
        <w:t>TransEco Pty Ltd</w:t>
      </w:r>
    </w:p>
    <w:p w:rsidR="00DB6A1A" w:rsidRDefault="00DB6A1A" w:rsidP="002148CE">
      <w:pPr>
        <w:pStyle w:val="ListParagraph"/>
        <w:numPr>
          <w:ilvl w:val="1"/>
          <w:numId w:val="9"/>
        </w:numPr>
      </w:pPr>
      <w:r w:rsidRPr="0010002D">
        <w:t>Road Freight Cost Outlook Quarterly Report (May 2011)</w:t>
      </w:r>
    </w:p>
    <w:p w:rsidR="003077CE" w:rsidRPr="0010002D" w:rsidRDefault="003077CE" w:rsidP="008B1A70">
      <w:pPr>
        <w:pStyle w:val="ListParagraph"/>
        <w:ind w:left="1440"/>
      </w:pPr>
    </w:p>
    <w:p w:rsidR="00DB6A1A" w:rsidRPr="0010002D" w:rsidRDefault="00DB6A1A" w:rsidP="002148CE">
      <w:pPr>
        <w:pStyle w:val="ListParagraph"/>
        <w:numPr>
          <w:ilvl w:val="0"/>
          <w:numId w:val="9"/>
        </w:numPr>
      </w:pPr>
      <w:r w:rsidRPr="0010002D">
        <w:t>Australian National Audit Office; Australia Government</w:t>
      </w:r>
    </w:p>
    <w:p w:rsidR="00DB6A1A" w:rsidRDefault="00DB6A1A" w:rsidP="002148CE">
      <w:pPr>
        <w:pStyle w:val="ListParagraph"/>
        <w:numPr>
          <w:ilvl w:val="1"/>
          <w:numId w:val="9"/>
        </w:numPr>
      </w:pPr>
      <w:r w:rsidRPr="0010002D">
        <w:t>Tasmanian Freight Equalisation Scheme (November 2011)</w:t>
      </w:r>
    </w:p>
    <w:p w:rsidR="003077CE" w:rsidRPr="0010002D" w:rsidRDefault="003077CE" w:rsidP="008B1A70">
      <w:pPr>
        <w:pStyle w:val="ListParagraph"/>
        <w:ind w:left="1440"/>
      </w:pPr>
    </w:p>
    <w:p w:rsidR="00DB6A1A" w:rsidRPr="0010002D" w:rsidRDefault="00DB6A1A" w:rsidP="002148CE">
      <w:pPr>
        <w:pStyle w:val="ListParagraph"/>
        <w:numPr>
          <w:ilvl w:val="0"/>
          <w:numId w:val="9"/>
        </w:numPr>
      </w:pPr>
      <w:r w:rsidRPr="0010002D">
        <w:t>TT-Line Company Pty Ltd</w:t>
      </w:r>
    </w:p>
    <w:p w:rsidR="00DB6A1A" w:rsidRPr="0010002D" w:rsidRDefault="00DB6A1A" w:rsidP="002148CE">
      <w:pPr>
        <w:pStyle w:val="ListParagraph"/>
        <w:numPr>
          <w:ilvl w:val="1"/>
          <w:numId w:val="9"/>
        </w:numPr>
      </w:pPr>
      <w:r w:rsidRPr="0010002D">
        <w:t>Annual Report 2011/12</w:t>
      </w:r>
    </w:p>
    <w:p w:rsidR="00DB6A1A" w:rsidRPr="0010002D" w:rsidRDefault="00DB6A1A" w:rsidP="00DB6A1A">
      <w:pPr>
        <w:pStyle w:val="AppendixHeading2"/>
        <w:rPr>
          <w:lang w:val="en-GB"/>
        </w:rPr>
      </w:pPr>
    </w:p>
    <w:p w:rsidR="00DB6A1A" w:rsidRPr="0010002D" w:rsidRDefault="00DB6A1A" w:rsidP="00C350BA">
      <w:pPr>
        <w:sectPr w:rsidR="00DB6A1A" w:rsidRPr="0010002D" w:rsidSect="00DF3196">
          <w:headerReference w:type="default" r:id="rId33"/>
          <w:footerReference w:type="first" r:id="rId34"/>
          <w:pgSz w:w="11907" w:h="16839" w:code="9"/>
          <w:pgMar w:top="1985" w:right="1418" w:bottom="1134" w:left="1418" w:header="567" w:footer="34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1"/>
      </w:tblGrid>
      <w:tr w:rsidR="00DB6A1A" w:rsidRPr="0010002D" w:rsidTr="00974975">
        <w:trPr>
          <w:trHeight w:val="3308"/>
        </w:trPr>
        <w:tc>
          <w:tcPr>
            <w:tcW w:w="5000" w:type="pct"/>
          </w:tcPr>
          <w:p w:rsidR="00DB6A1A" w:rsidRPr="0010002D" w:rsidRDefault="00DB6A1A" w:rsidP="00C350BA">
            <w:pPr>
              <w:pStyle w:val="PartHeading"/>
            </w:pPr>
            <w:bookmarkStart w:id="317" w:name="_Toc358293439"/>
            <w:bookmarkStart w:id="318" w:name="_Toc358293354"/>
            <w:bookmarkStart w:id="319" w:name="_Toc358067698"/>
            <w:bookmarkStart w:id="320" w:name="_Toc358802480"/>
            <w:bookmarkStart w:id="321" w:name="_Toc361388927"/>
            <w:r w:rsidRPr="0010002D">
              <w:t xml:space="preserve">Appendix </w:t>
            </w:r>
            <w:bookmarkEnd w:id="317"/>
            <w:bookmarkEnd w:id="318"/>
            <w:r w:rsidR="00CA7023">
              <w:fldChar w:fldCharType="begin"/>
            </w:r>
            <w:r w:rsidR="00AD43D6">
              <w:instrText xml:space="preserve"> SEQ Appendix\* ALPHABETIC\n  \* MERGEFORMAT </w:instrText>
            </w:r>
            <w:r w:rsidR="00CA7023">
              <w:fldChar w:fldCharType="separate"/>
            </w:r>
            <w:r w:rsidR="00FF5EB2">
              <w:rPr>
                <w:noProof/>
              </w:rPr>
              <w:t>D</w:t>
            </w:r>
            <w:bookmarkEnd w:id="319"/>
            <w:bookmarkEnd w:id="320"/>
            <w:bookmarkEnd w:id="321"/>
            <w:r w:rsidR="00CA7023">
              <w:rPr>
                <w:noProof/>
              </w:rPr>
              <w:fldChar w:fldCharType="end"/>
            </w:r>
          </w:p>
          <w:bookmarkStart w:id="322" w:name="_Toc367700255"/>
          <w:p w:rsidR="00DB6A1A" w:rsidRPr="0010002D" w:rsidRDefault="001474D4" w:rsidP="008B1A70">
            <w:pPr>
              <w:pStyle w:val="Heading2"/>
              <w:outlineLvl w:val="1"/>
            </w:pPr>
            <w:sdt>
              <w:sdtPr>
                <w:alias w:val="Appendix Heading"/>
                <w:tag w:val="AppendixHeading"/>
                <w:id w:val="-1122604958"/>
                <w:text w:multiLine="1"/>
              </w:sdtPr>
              <w:sdtEndPr/>
              <w:sdtContent>
                <w:r w:rsidR="00542217">
                  <w:t>Companies C</w:t>
                </w:r>
                <w:r w:rsidR="00542217" w:rsidRPr="003077CE">
                  <w:t>ontacted</w:t>
                </w:r>
              </w:sdtContent>
            </w:sdt>
            <w:bookmarkEnd w:id="322"/>
          </w:p>
        </w:tc>
      </w:tr>
    </w:tbl>
    <w:tbl>
      <w:tblPr>
        <w:tblStyle w:val="Style1"/>
        <w:tblW w:w="7103" w:type="dxa"/>
        <w:tblLook w:val="04A0" w:firstRow="1" w:lastRow="0" w:firstColumn="1" w:lastColumn="0" w:noHBand="0" w:noVBand="1"/>
      </w:tblPr>
      <w:tblGrid>
        <w:gridCol w:w="1433"/>
        <w:gridCol w:w="5670"/>
      </w:tblGrid>
      <w:tr w:rsidR="00DB6A1A" w:rsidRPr="0010002D" w:rsidTr="008D19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tcPr>
          <w:p w:rsidR="00DB6A1A" w:rsidRPr="0010002D" w:rsidRDefault="00DB6A1A" w:rsidP="008D19A7">
            <w:pPr>
              <w:spacing w:before="144" w:after="144"/>
              <w:rPr>
                <w:lang w:eastAsia="en-GB"/>
              </w:rPr>
            </w:pPr>
            <w:r w:rsidRPr="0010002D">
              <w:rPr>
                <w:lang w:eastAsia="en-GB"/>
              </w:rPr>
              <w:t>Location</w:t>
            </w:r>
          </w:p>
        </w:tc>
        <w:tc>
          <w:tcPr>
            <w:tcW w:w="5670" w:type="dxa"/>
            <w:hideMark/>
          </w:tcPr>
          <w:p w:rsidR="00DB6A1A" w:rsidRPr="0010002D" w:rsidRDefault="00DB6A1A" w:rsidP="008D19A7">
            <w:pPr>
              <w:spacing w:before="144" w:after="144"/>
              <w:cnfStyle w:val="100000000000" w:firstRow="1" w:lastRow="0" w:firstColumn="0" w:lastColumn="0" w:oddVBand="0" w:evenVBand="0" w:oddHBand="0" w:evenHBand="0" w:firstRowFirstColumn="0" w:firstRowLastColumn="0" w:lastRowFirstColumn="0" w:lastRowLastColumn="0"/>
              <w:rPr>
                <w:lang w:eastAsia="en-GB"/>
              </w:rPr>
            </w:pPr>
            <w:r w:rsidRPr="0010002D">
              <w:rPr>
                <w:lang w:eastAsia="en-GB"/>
              </w:rPr>
              <w:t>Organisation</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433" w:type="dxa"/>
            <w:vMerge w:val="restart"/>
            <w:shd w:val="clear" w:color="auto" w:fill="auto"/>
          </w:tcPr>
          <w:p w:rsidR="00DB6A1A" w:rsidRPr="0010002D" w:rsidRDefault="00DB6A1A" w:rsidP="008D19A7">
            <w:pPr>
              <w:pStyle w:val="Tables"/>
              <w:rPr>
                <w:lang w:eastAsia="en-GB"/>
              </w:rPr>
            </w:pPr>
            <w:r w:rsidRPr="0010002D">
              <w:rPr>
                <w:lang w:eastAsia="en-GB"/>
              </w:rPr>
              <w:t>Burnie</w:t>
            </w: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Lion Nathan Pty Ltd</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Caterpillar Elphinstone Pty Ltd</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Impact Fertilisers Pty Ltd</w:t>
            </w:r>
          </w:p>
        </w:tc>
      </w:tr>
      <w:tr w:rsidR="00DB6A1A" w:rsidRPr="0010002D" w:rsidTr="00A24C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vMerge w:val="restart"/>
            <w:shd w:val="clear" w:color="auto" w:fill="F3F9E8" w:themeFill="accent5" w:themeFillTint="33"/>
          </w:tcPr>
          <w:p w:rsidR="00DB6A1A" w:rsidRPr="0010002D" w:rsidRDefault="00DB6A1A" w:rsidP="008D19A7">
            <w:pPr>
              <w:pStyle w:val="Tables"/>
              <w:rPr>
                <w:lang w:eastAsia="en-GB"/>
              </w:rPr>
            </w:pPr>
            <w:r w:rsidRPr="0010002D">
              <w:rPr>
                <w:lang w:eastAsia="en-GB"/>
              </w:rPr>
              <w:t>Devonport</w:t>
            </w:r>
          </w:p>
        </w:tc>
        <w:tc>
          <w:tcPr>
            <w:tcW w:w="5670" w:type="dxa"/>
            <w:shd w:val="clear" w:color="auto" w:fill="F3F9E8" w:themeFill="accent5" w:themeFillTint="33"/>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Harvest Moon</w:t>
            </w:r>
          </w:p>
        </w:tc>
      </w:tr>
      <w:tr w:rsidR="00DB6A1A" w:rsidRPr="0010002D" w:rsidTr="00A24CF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Sea</w:t>
            </w:r>
            <w:r w:rsidR="00467FCB">
              <w:rPr>
                <w:lang w:eastAsia="en-GB"/>
              </w:rPr>
              <w:t>R</w:t>
            </w:r>
            <w:r w:rsidRPr="0010002D">
              <w:rPr>
                <w:lang w:eastAsia="en-GB"/>
              </w:rPr>
              <w:t>oad Holdings Pty Ltd</w:t>
            </w:r>
          </w:p>
        </w:tc>
      </w:tr>
      <w:tr w:rsidR="00DB6A1A" w:rsidRPr="0010002D" w:rsidTr="00A24CF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Webster Ltd</w:t>
            </w:r>
          </w:p>
        </w:tc>
      </w:tr>
      <w:tr w:rsidR="00DB6A1A" w:rsidRPr="0010002D" w:rsidTr="00A24C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Tasports Pty Ltd</w:t>
            </w:r>
          </w:p>
        </w:tc>
      </w:tr>
      <w:tr w:rsidR="00DB6A1A" w:rsidRPr="0010002D" w:rsidTr="00A24CF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Petuna Pty Ltd</w:t>
            </w:r>
          </w:p>
        </w:tc>
      </w:tr>
      <w:tr w:rsidR="00DB6A1A" w:rsidRPr="0010002D" w:rsidTr="00A24C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Fonterra (Australia) Pty Ltd</w:t>
            </w:r>
          </w:p>
        </w:tc>
      </w:tr>
      <w:tr w:rsidR="00DB6A1A" w:rsidRPr="0010002D" w:rsidTr="00A24CF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Cement Australia</w:t>
            </w:r>
          </w:p>
        </w:tc>
      </w:tr>
      <w:tr w:rsidR="00DB6A1A" w:rsidRPr="0010002D" w:rsidTr="00A24C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Incitec Pivot Ltd</w:t>
            </w:r>
          </w:p>
        </w:tc>
      </w:tr>
      <w:tr w:rsidR="00DB6A1A" w:rsidRPr="0010002D" w:rsidTr="00A24CF6">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Glaxosmithkline Australia Pty Ltd</w:t>
            </w:r>
          </w:p>
        </w:tc>
      </w:tr>
      <w:tr w:rsidR="00DB6A1A" w:rsidRPr="0010002D" w:rsidTr="00A24C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467FCB">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w:t>
            </w:r>
            <w:r w:rsidR="00467FCB">
              <w:rPr>
                <w:lang w:eastAsia="en-GB"/>
              </w:rPr>
              <w:t>T</w:t>
            </w:r>
            <w:r w:rsidRPr="0010002D">
              <w:rPr>
                <w:lang w:eastAsia="en-GB"/>
              </w:rPr>
              <w:t>-Line Company Pty Ltd</w:t>
            </w:r>
          </w:p>
        </w:tc>
      </w:tr>
      <w:tr w:rsidR="00DB6A1A" w:rsidRPr="0010002D" w:rsidTr="00A24C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DB6A1A" w:rsidRPr="0010002D" w:rsidRDefault="00DB6A1A" w:rsidP="008D19A7">
            <w:pPr>
              <w:pStyle w:val="Tables"/>
              <w:rPr>
                <w:lang w:eastAsia="en-GB"/>
              </w:rPr>
            </w:pPr>
          </w:p>
        </w:tc>
        <w:tc>
          <w:tcPr>
            <w:tcW w:w="5670" w:type="dxa"/>
            <w:shd w:val="clear" w:color="auto" w:fill="F3F9E8" w:themeFill="accent5" w:themeFillTint="33"/>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Fudge 'N' Good Coffee</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val="restart"/>
            <w:shd w:val="clear" w:color="auto" w:fill="auto"/>
          </w:tcPr>
          <w:p w:rsidR="00DB6A1A" w:rsidRPr="0010002D" w:rsidRDefault="00DB6A1A" w:rsidP="008D19A7">
            <w:pPr>
              <w:pStyle w:val="Tables"/>
              <w:rPr>
                <w:lang w:eastAsia="en-GB"/>
              </w:rPr>
            </w:pPr>
            <w:r w:rsidRPr="0010002D">
              <w:rPr>
                <w:lang w:eastAsia="en-GB"/>
              </w:rPr>
              <w:t>Hobart</w:t>
            </w: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Tasmanian Chamber Of Commerce And Industry Ltd</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Port Of Melbourne Corporation</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Norske Skog (Australasia) Pty Ltd</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Tasmanian Minerals Council Ltd</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Forestry Tasmania</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Nyrstar Australia Pty Ltd</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Fruit Growers Tasmania Inc</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Tassal Group Limited</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Ta Ann</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O</w:t>
            </w:r>
            <w:r w:rsidR="00467FCB">
              <w:rPr>
                <w:lang w:eastAsia="en-GB"/>
              </w:rPr>
              <w:t>OCL</w:t>
            </w:r>
            <w:r w:rsidRPr="0010002D">
              <w:rPr>
                <w:lang w:eastAsia="en-GB"/>
              </w:rPr>
              <w:t xml:space="preserve"> (Australia) Pty Ltd</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Air Trade Pty Ltd</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Tasmanian Freight Logistics Council Ltd</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Houston - Lettuce</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Boral Plasterboard</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S.A. &amp; K.A. Cuthbertson Pty Ltd</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Ingham Chicken Growers Association Inc.</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Bunnings Pty Ltd</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433" w:type="dxa"/>
            <w:vMerge w:val="restart"/>
            <w:shd w:val="clear" w:color="auto" w:fill="F3F9E8" w:themeFill="accent5" w:themeFillTint="33"/>
          </w:tcPr>
          <w:p w:rsidR="008D19A7" w:rsidRPr="0010002D" w:rsidRDefault="008D19A7" w:rsidP="008D19A7">
            <w:pPr>
              <w:pStyle w:val="Tables"/>
              <w:rPr>
                <w:lang w:eastAsia="en-GB"/>
              </w:rPr>
            </w:pPr>
            <w:r w:rsidRPr="0010002D">
              <w:rPr>
                <w:lang w:eastAsia="en-GB"/>
              </w:rPr>
              <w:t>Launceston</w:t>
            </w: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Tasmanian Transport Association</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The Tasmanian Farmers And Graziers Association</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Tasrail Pty Ltd</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Bell Bay Aluminium</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Veolia Environmental Services (Australia) Pty Ltd</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Boags Brewery - Lion</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Austral Bricks (Tas) Pty Ltd</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J</w:t>
            </w:r>
            <w:r w:rsidR="00467FCB">
              <w:rPr>
                <w:lang w:eastAsia="en-GB"/>
              </w:rPr>
              <w:t>B</w:t>
            </w:r>
            <w:r w:rsidRPr="0010002D">
              <w:rPr>
                <w:lang w:eastAsia="en-GB"/>
              </w:rPr>
              <w:t xml:space="preserve"> Swift</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Tas Alkaloid</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Temco</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Tasmanian Irrigation Pty Ltd</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Toll Pty Limited</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Neville Smith</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Tasmania Agility</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Tasmanian Exporters Group</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Statewide Independent Wholesalers Limited</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Bluescope Pty Ltd</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Furneaux Freight Pty Ltd</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Simms Metals</w:t>
            </w:r>
          </w:p>
        </w:tc>
      </w:tr>
      <w:tr w:rsidR="008D19A7" w:rsidRPr="0010002D" w:rsidTr="00A24CF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Lpi Australia</w:t>
            </w:r>
          </w:p>
        </w:tc>
      </w:tr>
      <w:tr w:rsidR="008D19A7" w:rsidRPr="0010002D" w:rsidTr="00A24CF6">
        <w:trPr>
          <w:cnfStyle w:val="000000010000" w:firstRow="0" w:lastRow="0" w:firstColumn="0" w:lastColumn="0" w:oddVBand="0" w:evenVBand="0" w:oddHBand="0" w:evenHBand="1"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F3F9E8" w:themeFill="accent5" w:themeFillTint="33"/>
          </w:tcPr>
          <w:p w:rsidR="008D19A7" w:rsidRPr="0010002D" w:rsidRDefault="008D19A7" w:rsidP="008D19A7">
            <w:pPr>
              <w:pStyle w:val="Tables"/>
              <w:rPr>
                <w:lang w:eastAsia="en-GB"/>
              </w:rPr>
            </w:pPr>
          </w:p>
        </w:tc>
        <w:tc>
          <w:tcPr>
            <w:tcW w:w="5670" w:type="dxa"/>
            <w:shd w:val="clear" w:color="auto" w:fill="F3F9E8" w:themeFill="accent5" w:themeFillTint="33"/>
          </w:tcPr>
          <w:p w:rsidR="008D19A7" w:rsidRPr="0010002D" w:rsidRDefault="008D19A7"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Ecka Granules Australia Pty Ltd</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33" w:type="dxa"/>
            <w:vMerge w:val="restart"/>
            <w:shd w:val="clear" w:color="auto" w:fill="auto"/>
          </w:tcPr>
          <w:p w:rsidR="00DB6A1A" w:rsidRPr="0010002D" w:rsidRDefault="00DB6A1A" w:rsidP="008D19A7">
            <w:pPr>
              <w:pStyle w:val="Tables"/>
              <w:rPr>
                <w:lang w:eastAsia="en-GB"/>
              </w:rPr>
            </w:pPr>
            <w:r w:rsidRPr="0010002D">
              <w:rPr>
                <w:lang w:eastAsia="en-GB"/>
              </w:rPr>
              <w:t>Smithton</w:t>
            </w: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Cadbury Schweppes Pty Ltd</w:t>
            </w:r>
          </w:p>
        </w:tc>
      </w:tr>
      <w:tr w:rsidR="00DB6A1A" w:rsidRPr="0010002D" w:rsidTr="008D19A7">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Tas Dairy</w:t>
            </w:r>
          </w:p>
        </w:tc>
      </w:tr>
      <w:tr w:rsidR="00DB6A1A" w:rsidRPr="0010002D" w:rsidTr="008D19A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33" w:type="dxa"/>
            <w:vMerge/>
            <w:shd w:val="clear" w:color="auto" w:fill="auto"/>
          </w:tcPr>
          <w:p w:rsidR="00DB6A1A" w:rsidRPr="0010002D" w:rsidRDefault="00DB6A1A" w:rsidP="008D19A7">
            <w:pPr>
              <w:pStyle w:val="Tables"/>
              <w:rPr>
                <w:lang w:eastAsia="en-GB"/>
              </w:rPr>
            </w:pPr>
          </w:p>
        </w:tc>
        <w:tc>
          <w:tcPr>
            <w:tcW w:w="5670" w:type="dxa"/>
            <w:shd w:val="clear" w:color="auto" w:fill="auto"/>
          </w:tcPr>
          <w:p w:rsidR="00DB6A1A" w:rsidRPr="0010002D" w:rsidRDefault="00DB6A1A"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Mc</w:t>
            </w:r>
            <w:r w:rsidR="00467FCB">
              <w:rPr>
                <w:lang w:eastAsia="en-GB"/>
              </w:rPr>
              <w:t>C</w:t>
            </w:r>
            <w:r w:rsidRPr="0010002D">
              <w:rPr>
                <w:lang w:eastAsia="en-GB"/>
              </w:rPr>
              <w:t>ains</w:t>
            </w:r>
          </w:p>
        </w:tc>
      </w:tr>
      <w:tr w:rsidR="003077CE" w:rsidRPr="0010002D" w:rsidTr="008D19A7">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33" w:type="dxa"/>
            <w:vMerge w:val="restart"/>
          </w:tcPr>
          <w:p w:rsidR="003077CE" w:rsidRPr="0010002D" w:rsidRDefault="003077CE" w:rsidP="008D19A7">
            <w:pPr>
              <w:pStyle w:val="Tables"/>
              <w:rPr>
                <w:lang w:eastAsia="en-GB"/>
              </w:rPr>
            </w:pPr>
            <w:r w:rsidRPr="0010002D">
              <w:rPr>
                <w:lang w:eastAsia="en-GB"/>
              </w:rPr>
              <w:t>Ulverstone</w:t>
            </w:r>
          </w:p>
        </w:tc>
        <w:tc>
          <w:tcPr>
            <w:tcW w:w="5670" w:type="dxa"/>
          </w:tcPr>
          <w:p w:rsidR="003077CE" w:rsidRPr="0010002D" w:rsidRDefault="003077CE"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Botanical Resources Australia Pty Ltd</w:t>
            </w:r>
          </w:p>
        </w:tc>
      </w:tr>
      <w:tr w:rsidR="003077CE" w:rsidRPr="0010002D" w:rsidTr="008D19A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33" w:type="dxa"/>
            <w:vMerge/>
          </w:tcPr>
          <w:p w:rsidR="003077CE" w:rsidRPr="0010002D" w:rsidRDefault="003077CE" w:rsidP="008D19A7">
            <w:pPr>
              <w:pStyle w:val="Tables"/>
              <w:rPr>
                <w:lang w:eastAsia="en-GB"/>
              </w:rPr>
            </w:pPr>
          </w:p>
        </w:tc>
        <w:tc>
          <w:tcPr>
            <w:tcW w:w="5670" w:type="dxa"/>
          </w:tcPr>
          <w:p w:rsidR="003077CE" w:rsidRPr="0010002D" w:rsidRDefault="003077CE" w:rsidP="008D19A7">
            <w:pPr>
              <w:pStyle w:val="Tables"/>
              <w:cnfStyle w:val="000000100000" w:firstRow="0" w:lastRow="0" w:firstColumn="0" w:lastColumn="0" w:oddVBand="0" w:evenVBand="0" w:oddHBand="1" w:evenHBand="0" w:firstRowFirstColumn="0" w:firstRowLastColumn="0" w:lastRowFirstColumn="0" w:lastRowLastColumn="0"/>
              <w:rPr>
                <w:lang w:eastAsia="en-GB"/>
              </w:rPr>
            </w:pPr>
            <w:r w:rsidRPr="0010002D">
              <w:rPr>
                <w:lang w:eastAsia="en-GB"/>
              </w:rPr>
              <w:t>MMG Tasmania</w:t>
            </w:r>
          </w:p>
        </w:tc>
      </w:tr>
      <w:tr w:rsidR="003077CE" w:rsidRPr="0010002D" w:rsidTr="008D19A7">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33" w:type="dxa"/>
            <w:vMerge/>
          </w:tcPr>
          <w:p w:rsidR="003077CE" w:rsidRPr="0010002D" w:rsidRDefault="003077CE" w:rsidP="008D19A7">
            <w:pPr>
              <w:pStyle w:val="Tables"/>
              <w:rPr>
                <w:lang w:eastAsia="en-GB"/>
              </w:rPr>
            </w:pPr>
          </w:p>
        </w:tc>
        <w:tc>
          <w:tcPr>
            <w:tcW w:w="5670" w:type="dxa"/>
          </w:tcPr>
          <w:p w:rsidR="003077CE" w:rsidRPr="0010002D" w:rsidRDefault="003077CE" w:rsidP="008D19A7">
            <w:pPr>
              <w:pStyle w:val="Tables"/>
              <w:cnfStyle w:val="000000010000" w:firstRow="0" w:lastRow="0" w:firstColumn="0" w:lastColumn="0" w:oddVBand="0" w:evenVBand="0" w:oddHBand="0" w:evenHBand="1" w:firstRowFirstColumn="0" w:firstRowLastColumn="0" w:lastRowFirstColumn="0" w:lastRowLastColumn="0"/>
              <w:rPr>
                <w:lang w:eastAsia="en-GB"/>
              </w:rPr>
            </w:pPr>
            <w:r w:rsidRPr="0010002D">
              <w:rPr>
                <w:lang w:eastAsia="en-GB"/>
              </w:rPr>
              <w:t>Vincent Industries Inc.</w:t>
            </w:r>
          </w:p>
        </w:tc>
      </w:tr>
    </w:tbl>
    <w:p w:rsidR="00DB6A1A" w:rsidRPr="0010002D" w:rsidRDefault="00DB6A1A" w:rsidP="00DB6A1A">
      <w:pPr>
        <w:pStyle w:val="AppendixHeading2"/>
        <w:rPr>
          <w:lang w:val="en-GB"/>
        </w:rPr>
      </w:pPr>
    </w:p>
    <w:p w:rsidR="00DB6A1A" w:rsidRPr="0010002D" w:rsidRDefault="00DB6A1A" w:rsidP="00C350BA">
      <w:pPr>
        <w:sectPr w:rsidR="00DB6A1A" w:rsidRPr="0010002D" w:rsidSect="00DF3196">
          <w:headerReference w:type="default" r:id="rId35"/>
          <w:footerReference w:type="first" r:id="rId36"/>
          <w:pgSz w:w="11907" w:h="16839" w:code="9"/>
          <w:pgMar w:top="1985" w:right="1418" w:bottom="1134" w:left="1418" w:header="567" w:footer="340" w:gutter="0"/>
          <w:cols w:space="720"/>
          <w:docGrid w:linePitch="360"/>
        </w:sectPr>
      </w:pPr>
    </w:p>
    <w:tbl>
      <w:tblPr>
        <w:tblStyle w:val="TableGrid"/>
        <w:tblW w:w="4737"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ECE9" w:themeFill="accent6"/>
        <w:tblCellMar>
          <w:left w:w="0" w:type="dxa"/>
          <w:right w:w="0" w:type="dxa"/>
        </w:tblCellMar>
        <w:tblLook w:val="04A0" w:firstRow="1" w:lastRow="0" w:firstColumn="1" w:lastColumn="0" w:noHBand="0" w:noVBand="1"/>
      </w:tblPr>
      <w:tblGrid>
        <w:gridCol w:w="10205"/>
      </w:tblGrid>
      <w:tr w:rsidR="003D7C4C" w:rsidRPr="0010002D" w:rsidTr="002107B1">
        <w:trPr>
          <w:cantSplit/>
          <w:trHeight w:val="11340"/>
        </w:trPr>
        <w:tc>
          <w:tcPr>
            <w:tcW w:w="5000" w:type="pct"/>
            <w:shd w:val="clear" w:color="auto" w:fill="EAECE9" w:themeFill="accent6"/>
            <w:tcMar>
              <w:left w:w="567" w:type="dxa"/>
            </w:tcMar>
          </w:tcPr>
          <w:p w:rsidR="003D7C4C" w:rsidRPr="0010002D" w:rsidRDefault="003D7C4C" w:rsidP="00C350BA"/>
          <w:p w:rsidR="0097188D" w:rsidRPr="0010002D" w:rsidRDefault="0097188D" w:rsidP="00C350BA"/>
          <w:p w:rsidR="0097188D" w:rsidRPr="0010002D" w:rsidRDefault="0097188D" w:rsidP="00C350BA"/>
          <w:sdt>
            <w:sdtPr>
              <w:rPr>
                <w:noProof/>
              </w:rPr>
              <w:alias w:val="Back Cover Logo"/>
              <w:tag w:val="BackCoverLogo"/>
              <w:id w:val="19269289"/>
              <w:picture/>
            </w:sdtPr>
            <w:sdtEndPr/>
            <w:sdtContent>
              <w:p w:rsidR="003D7C4C" w:rsidRPr="0010002D" w:rsidRDefault="000568C9" w:rsidP="00C350BA">
                <w:r w:rsidRPr="0010002D">
                  <w:rPr>
                    <w:noProof/>
                    <w:lang w:val="en-AU" w:eastAsia="en-AU"/>
                  </w:rPr>
                  <w:drawing>
                    <wp:inline distT="0" distB="0" distL="0" distR="0">
                      <wp:extent cx="1496358" cy="332524"/>
                      <wp:effectExtent l="0" t="0" r="0" b="0"/>
                      <wp:docPr id="238" name="Picture 2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96358" cy="332524"/>
                              </a:xfrm>
                              <a:prstGeom prst="rect">
                                <a:avLst/>
                              </a:prstGeom>
                            </pic:spPr>
                          </pic:pic>
                        </a:graphicData>
                      </a:graphic>
                    </wp:inline>
                  </w:drawing>
                </w:r>
              </w:p>
            </w:sdtContent>
          </w:sdt>
          <w:p w:rsidR="00D44D7C" w:rsidRPr="0010002D" w:rsidRDefault="00D44D7C" w:rsidP="00C350BA"/>
          <w:p w:rsidR="00E1451A" w:rsidRPr="0010002D" w:rsidRDefault="00E1451A" w:rsidP="00C350BA"/>
          <w:p w:rsidR="000A51D7" w:rsidRPr="0010002D" w:rsidRDefault="000A51D7" w:rsidP="00C350BA"/>
          <w:p w:rsidR="00E1451A" w:rsidRPr="0010002D" w:rsidRDefault="00E1451A" w:rsidP="00C350BA"/>
          <w:p w:rsidR="00E1451A" w:rsidRPr="0010002D" w:rsidRDefault="00E1451A" w:rsidP="00C350BA"/>
          <w:p w:rsidR="008A4AB1" w:rsidRPr="0010002D" w:rsidRDefault="001474D4" w:rsidP="00A24CF6">
            <w:pPr>
              <w:spacing w:after="0"/>
              <w:rPr>
                <w:rStyle w:val="Strong"/>
              </w:rPr>
            </w:pPr>
            <w:sdt>
              <w:sdtPr>
                <w:rPr>
                  <w:rStyle w:val="Strong"/>
                </w:rPr>
                <w:alias w:val="Company Name"/>
                <w:tag w:val="CompanyName"/>
                <w:id w:val="115259213"/>
                <w:dataBinding w:xpath="/root[1]/company[1]/companyname[1]" w:storeItemID="{FFD81A59-B074-45B3-B3B7-CA5E6F5AEDEE}"/>
                <w:text/>
              </w:sdtPr>
              <w:sdtEndPr>
                <w:rPr>
                  <w:rStyle w:val="Strong"/>
                </w:rPr>
              </w:sdtEndPr>
              <w:sdtContent>
                <w:r w:rsidR="00622A3D">
                  <w:rPr>
                    <w:rStyle w:val="Strong"/>
                    <w:lang w:val="en-AU"/>
                  </w:rPr>
                  <w:t>Aurecon Australia Pty Ltd</w:t>
                </w:r>
              </w:sdtContent>
            </w:sdt>
          </w:p>
          <w:p w:rsidR="00E1451A" w:rsidRPr="0010002D" w:rsidRDefault="001474D4" w:rsidP="00A24CF6">
            <w:pPr>
              <w:spacing w:after="0"/>
            </w:pPr>
            <w:sdt>
              <w:sdtPr>
                <w:alias w:val="Company ABN"/>
                <w:tag w:val="CompanyABN"/>
                <w:id w:val="372902791"/>
                <w:dataBinding w:xpath="/root[1]/company[1]/companyabn[1]" w:storeItemID="{FFD81A59-B074-45B3-B3B7-CA5E6F5AEDEE}"/>
                <w:text w:multiLine="1"/>
              </w:sdtPr>
              <w:sdtEndPr/>
              <w:sdtContent>
                <w:r w:rsidR="00622A3D">
                  <w:rPr>
                    <w:lang w:val="en-AU"/>
                  </w:rPr>
                  <w:t>ABN 54 005 139 873</w:t>
                </w:r>
              </w:sdtContent>
            </w:sdt>
          </w:p>
          <w:p w:rsidR="00E1451A" w:rsidRPr="0010002D" w:rsidRDefault="00E336FD" w:rsidP="00A24CF6">
            <w:pPr>
              <w:spacing w:after="0"/>
            </w:pPr>
            <w:r>
              <w:rPr>
                <w:lang w:val="en-AU"/>
              </w:rPr>
              <w:t>Aurecon Centre</w:t>
            </w:r>
            <w:r>
              <w:rPr>
                <w:lang w:val="en-AU"/>
              </w:rPr>
              <w:br/>
              <w:t>Level 8, 850 Collins Street</w:t>
            </w:r>
            <w:r>
              <w:rPr>
                <w:lang w:val="en-AU"/>
              </w:rPr>
              <w:br/>
              <w:t>Docklands VIC 3008</w:t>
            </w:r>
          </w:p>
          <w:p w:rsidR="00E1451A" w:rsidRPr="0010002D" w:rsidRDefault="00E336FD" w:rsidP="00A24CF6">
            <w:pPr>
              <w:spacing w:after="0"/>
            </w:pPr>
            <w:r>
              <w:rPr>
                <w:lang w:val="en-AU"/>
              </w:rPr>
              <w:t>PO Box 23061</w:t>
            </w:r>
            <w:r>
              <w:rPr>
                <w:lang w:val="en-AU"/>
              </w:rPr>
              <w:br/>
              <w:t>Docklands VIC 8012</w:t>
            </w:r>
          </w:p>
          <w:p w:rsidR="00E1451A" w:rsidRPr="0010002D" w:rsidRDefault="001474D4" w:rsidP="00A24CF6">
            <w:pPr>
              <w:spacing w:after="0"/>
            </w:pPr>
            <w:sdt>
              <w:sdtPr>
                <w:alias w:val="Company Address Line 3"/>
                <w:tag w:val="CompanyAddress3"/>
                <w:id w:val="115259217"/>
                <w:dataBinding w:xpath="/root[1]/company[1]/companyaddress3[1]" w:storeItemID="{FFD81A59-B074-45B3-B3B7-CA5E6F5AEDEE}"/>
                <w:text w:multiLine="1"/>
              </w:sdtPr>
              <w:sdtEndPr/>
              <w:sdtContent>
                <w:r w:rsidR="00622A3D">
                  <w:rPr>
                    <w:lang w:val="en-AU"/>
                  </w:rPr>
                  <w:t>Australia</w:t>
                </w:r>
              </w:sdtContent>
            </w:sdt>
          </w:p>
          <w:p w:rsidR="00E1451A" w:rsidRPr="0010002D" w:rsidRDefault="003D7C4C" w:rsidP="00A24CF6">
            <w:pPr>
              <w:spacing w:after="0"/>
            </w:pPr>
            <w:r w:rsidRPr="0010002D">
              <w:rPr>
                <w:b/>
              </w:rPr>
              <w:t>T</w:t>
            </w:r>
            <w:r w:rsidR="00CD79FB" w:rsidRPr="0010002D">
              <w:rPr>
                <w:b/>
              </w:rPr>
              <w:tab/>
            </w:r>
            <w:sdt>
              <w:sdtPr>
                <w:alias w:val="Company Telephone"/>
                <w:tag w:val="CompanyTelephone"/>
                <w:id w:val="433262366"/>
                <w:dataBinding w:xpath="/root[1]/company[1]/companytelephone[1]" w:storeItemID="{FFD81A59-B074-45B3-B3B7-CA5E6F5AEDEE}"/>
                <w:text/>
              </w:sdtPr>
              <w:sdtEndPr/>
              <w:sdtContent>
                <w:r w:rsidR="00622A3D">
                  <w:rPr>
                    <w:lang w:val="en-AU"/>
                  </w:rPr>
                  <w:t>+61 3 9975 3000</w:t>
                </w:r>
              </w:sdtContent>
            </w:sdt>
          </w:p>
          <w:p w:rsidR="00E1451A" w:rsidRPr="0010002D" w:rsidRDefault="00EB0434" w:rsidP="00A24CF6">
            <w:pPr>
              <w:spacing w:after="0"/>
            </w:pPr>
            <w:r w:rsidRPr="0010002D">
              <w:rPr>
                <w:b/>
              </w:rPr>
              <w:t>F</w:t>
            </w:r>
            <w:r w:rsidR="00CD79FB" w:rsidRPr="0010002D">
              <w:rPr>
                <w:b/>
              </w:rPr>
              <w:tab/>
            </w:r>
            <w:sdt>
              <w:sdtPr>
                <w:alias w:val="Company Fax"/>
                <w:tag w:val="CompanyFax"/>
                <w:id w:val="433262367"/>
                <w:dataBinding w:xpath="/root[1]/company[1]/companyfax[1]" w:storeItemID="{FFD81A59-B074-45B3-B3B7-CA5E6F5AEDEE}"/>
                <w:text/>
              </w:sdtPr>
              <w:sdtEndPr/>
              <w:sdtContent>
                <w:r w:rsidR="00622A3D">
                  <w:rPr>
                    <w:lang w:val="en-AU"/>
                  </w:rPr>
                  <w:t>+61 3 9975 3444</w:t>
                </w:r>
              </w:sdtContent>
            </w:sdt>
          </w:p>
          <w:p w:rsidR="003D7C4C" w:rsidRPr="0010002D" w:rsidRDefault="00EB0434" w:rsidP="00A24CF6">
            <w:pPr>
              <w:spacing w:after="0"/>
            </w:pPr>
            <w:r w:rsidRPr="0010002D">
              <w:rPr>
                <w:b/>
              </w:rPr>
              <w:t>E</w:t>
            </w:r>
            <w:r w:rsidR="00CD79FB" w:rsidRPr="0010002D">
              <w:rPr>
                <w:b/>
              </w:rPr>
              <w:tab/>
            </w:r>
            <w:sdt>
              <w:sdtPr>
                <w:alias w:val="Company Email"/>
                <w:tag w:val="CompanyEmail"/>
                <w:id w:val="433262368"/>
                <w:dataBinding w:xpath="/root[1]/company[1]/companyemail[1]" w:storeItemID="{FFD81A59-B074-45B3-B3B7-CA5E6F5AEDEE}"/>
                <w:text/>
              </w:sdtPr>
              <w:sdtEndPr/>
              <w:sdtContent>
                <w:r w:rsidR="00622A3D">
                  <w:rPr>
                    <w:lang w:val="en-AU"/>
                  </w:rPr>
                  <w:t>melbourne@aurecongroup.com</w:t>
                </w:r>
              </w:sdtContent>
            </w:sdt>
          </w:p>
          <w:p w:rsidR="00E1451A" w:rsidRPr="0010002D" w:rsidRDefault="00E1451A" w:rsidP="00A24CF6">
            <w:pPr>
              <w:spacing w:after="0"/>
            </w:pPr>
            <w:r w:rsidRPr="0010002D">
              <w:rPr>
                <w:b/>
              </w:rPr>
              <w:t>W</w:t>
            </w:r>
            <w:r w:rsidR="00CD79FB" w:rsidRPr="0010002D">
              <w:rPr>
                <w:b/>
                <w:sz w:val="18"/>
                <w:szCs w:val="18"/>
              </w:rPr>
              <w:tab/>
            </w:r>
            <w:sdt>
              <w:sdtPr>
                <w:alias w:val="Company Website"/>
                <w:tag w:val="CompanyWeb"/>
                <w:id w:val="1528914245"/>
                <w:dataBinding w:xpath="/root[1]/company[1]/companyweb[1]" w:storeItemID="{FFD81A59-B074-45B3-B3B7-CA5E6F5AEDEE}"/>
                <w:text/>
              </w:sdtPr>
              <w:sdtEndPr/>
              <w:sdtContent>
                <w:r w:rsidR="00622A3D">
                  <w:rPr>
                    <w:lang w:val="en-AU"/>
                  </w:rPr>
                  <w:t>aurecongroup.com</w:t>
                </w:r>
              </w:sdtContent>
            </w:sdt>
          </w:p>
          <w:p w:rsidR="003D7C4C" w:rsidRPr="0010002D" w:rsidRDefault="003D7C4C" w:rsidP="00A24CF6">
            <w:pPr>
              <w:spacing w:after="0"/>
            </w:pPr>
          </w:p>
          <w:p w:rsidR="00600C65" w:rsidRPr="0010002D" w:rsidRDefault="00600C65" w:rsidP="00A24CF6">
            <w:pPr>
              <w:spacing w:after="0"/>
            </w:pPr>
          </w:p>
          <w:p w:rsidR="00600C65" w:rsidRPr="0010002D" w:rsidRDefault="00600C65" w:rsidP="00A24CF6">
            <w:pPr>
              <w:spacing w:after="0"/>
            </w:pPr>
          </w:p>
          <w:p w:rsidR="003D7C4C" w:rsidRPr="0010002D" w:rsidRDefault="003D7C4C" w:rsidP="00A24CF6">
            <w:pPr>
              <w:spacing w:after="0"/>
            </w:pPr>
          </w:p>
          <w:p w:rsidR="000A51D7" w:rsidRPr="0010002D" w:rsidRDefault="000A51D7" w:rsidP="00A24CF6">
            <w:pPr>
              <w:spacing w:after="0"/>
            </w:pPr>
          </w:p>
          <w:p w:rsidR="003D7C4C" w:rsidRPr="0010002D" w:rsidRDefault="003D7C4C" w:rsidP="00C350BA"/>
          <w:p w:rsidR="003D7C4C" w:rsidRPr="0010002D" w:rsidRDefault="003D7C4C" w:rsidP="00C350BA"/>
          <w:p w:rsidR="003D7C4C" w:rsidRPr="0010002D" w:rsidRDefault="003D7C4C" w:rsidP="00C350BA"/>
          <w:sdt>
            <w:sdtPr>
              <w:alias w:val="Offices"/>
              <w:tag w:val="Offices"/>
              <w:id w:val="559677065"/>
            </w:sdtPr>
            <w:sdtEndPr/>
            <w:sdtContent>
              <w:p w:rsidR="000568C9" w:rsidRPr="0010002D" w:rsidRDefault="000568C9" w:rsidP="00C350BA">
                <w:r w:rsidRPr="0010002D">
                  <w:t>Aurecon offices are located in:</w:t>
                </w:r>
                <w:r w:rsidRPr="0010002D">
                  <w:br/>
                  <w:t>Angola, Australia, Botswana, China,</w:t>
                </w:r>
                <w:r w:rsidRPr="0010002D">
                  <w:br/>
                  <w:t xml:space="preserve">Ethiopia, Hong Kong, Indonesia, </w:t>
                </w:r>
                <w:r w:rsidRPr="0010002D">
                  <w:br/>
                  <w:t xml:space="preserve">Lesotho, Libya, Malawi, Mozambique, </w:t>
                </w:r>
                <w:r w:rsidRPr="0010002D">
                  <w:br/>
                  <w:t xml:space="preserve">Namibia, New Zealand, Nigeria, </w:t>
                </w:r>
                <w:r w:rsidRPr="0010002D">
                  <w:br/>
                  <w:t xml:space="preserve">Philippines, Singapore, South Africa, </w:t>
                </w:r>
                <w:r w:rsidRPr="0010002D">
                  <w:br/>
                  <w:t xml:space="preserve">Swaziland, Tanzania, Thailand, Uganda, </w:t>
                </w:r>
                <w:r w:rsidRPr="0010002D">
                  <w:br/>
                  <w:t>United Arab Emirates, Vietnam.</w:t>
                </w:r>
              </w:p>
              <w:p w:rsidR="002107B1" w:rsidRPr="0010002D" w:rsidRDefault="001474D4" w:rsidP="00C350BA"/>
            </w:sdtContent>
          </w:sdt>
          <w:p w:rsidR="0097188D" w:rsidRPr="0010002D" w:rsidRDefault="0097188D" w:rsidP="00C350BA"/>
        </w:tc>
      </w:tr>
    </w:tbl>
    <w:p w:rsidR="001B2677" w:rsidRPr="0010002D" w:rsidRDefault="001B2677" w:rsidP="00C350BA"/>
    <w:sectPr w:rsidR="001B2677" w:rsidRPr="0010002D" w:rsidSect="00DF7702">
      <w:headerReference w:type="default" r:id="rId38"/>
      <w:footerReference w:type="default" r:id="rId39"/>
      <w:pgSz w:w="11907" w:h="16839" w:code="9"/>
      <w:pgMar w:top="1667" w:right="851" w:bottom="680" w:left="851" w:header="284"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5FA" w:rsidRDefault="003925FA" w:rsidP="00C350BA">
      <w:r>
        <w:separator/>
      </w:r>
    </w:p>
  </w:endnote>
  <w:endnote w:type="continuationSeparator" w:id="0">
    <w:p w:rsidR="003925FA" w:rsidRDefault="003925FA" w:rsidP="00C350BA">
      <w:r>
        <w:continuationSeparator/>
      </w:r>
    </w:p>
  </w:endnote>
  <w:endnote w:type="continuationNotice" w:id="1">
    <w:p w:rsidR="003925FA" w:rsidRDefault="003925FA" w:rsidP="00C350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398"/>
      <w:gridCol w:w="3399"/>
      <w:gridCol w:w="3399"/>
    </w:tblGrid>
    <w:tr w:rsidR="003925FA" w:rsidRPr="0063784B" w:rsidTr="00125423">
      <w:tc>
        <w:tcPr>
          <w:tcW w:w="3398" w:type="dxa"/>
          <w:vAlign w:val="bottom"/>
        </w:tcPr>
        <w:sdt>
          <w:sdtPr>
            <w:alias w:val="Aurecon Cover Lef tFooter Image"/>
            <w:tag w:val="AureconCoverLeftFooterImage"/>
            <w:id w:val="945512095"/>
            <w:picture/>
          </w:sdtPr>
          <w:sdtEndPr/>
          <w:sdtContent>
            <w:p w:rsidR="003925FA" w:rsidRPr="0063784B" w:rsidRDefault="003925FA" w:rsidP="00C350BA">
              <w:pPr>
                <w:pStyle w:val="Footer"/>
              </w:pPr>
              <w:r>
                <w:rPr>
                  <w:noProof/>
                  <w:lang w:val="en-AU" w:eastAsia="en-AU"/>
                </w:rPr>
                <w:drawing>
                  <wp:inline distT="0" distB="0" distL="0" distR="0">
                    <wp:extent cx="1127858" cy="198137"/>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27858" cy="198137"/>
                            </a:xfrm>
                            <a:prstGeom prst="rect">
                              <a:avLst/>
                            </a:prstGeom>
                          </pic:spPr>
                        </pic:pic>
                      </a:graphicData>
                    </a:graphic>
                  </wp:inline>
                </w:drawing>
              </w:r>
            </w:p>
          </w:sdtContent>
        </w:sdt>
      </w:tc>
      <w:tc>
        <w:tcPr>
          <w:tcW w:w="3399" w:type="dxa"/>
        </w:tcPr>
        <w:p w:rsidR="003925FA" w:rsidRPr="0063784B" w:rsidRDefault="003925FA" w:rsidP="00C350BA">
          <w:pPr>
            <w:pStyle w:val="Footer"/>
          </w:pPr>
          <w:r>
            <w:rPr>
              <w:noProof/>
              <w:lang w:val="en-AU" w:eastAsia="en-AU"/>
            </w:rPr>
            <w:drawing>
              <wp:inline distT="0" distB="0" distL="0" distR="0">
                <wp:extent cx="1258784" cy="1039644"/>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259513" cy="1040246"/>
                        </a:xfrm>
                        <a:prstGeom prst="rect">
                          <a:avLst/>
                        </a:prstGeom>
                      </pic:spPr>
                    </pic:pic>
                  </a:graphicData>
                </a:graphic>
              </wp:inline>
            </w:drawing>
          </w:r>
        </w:p>
      </w:tc>
      <w:tc>
        <w:tcPr>
          <w:tcW w:w="3399" w:type="dxa"/>
        </w:tcPr>
        <w:p w:rsidR="003925FA" w:rsidRPr="0063784B" w:rsidRDefault="003925FA" w:rsidP="00C350BA">
          <w:pPr>
            <w:pStyle w:val="Footer"/>
          </w:pPr>
        </w:p>
      </w:tc>
    </w:tr>
  </w:tbl>
  <w:p w:rsidR="003925FA" w:rsidRPr="0063784B" w:rsidRDefault="003925FA" w:rsidP="00C350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704" w:type="pct"/>
      <w:tblInd w:w="-567" w:type="dxa"/>
      <w:tblBorders>
        <w:top w:val="none" w:sz="0" w:space="0" w:color="auto"/>
        <w:left w:val="none" w:sz="0" w:space="0" w:color="auto"/>
        <w:bottom w:val="none" w:sz="0" w:space="0" w:color="auto"/>
        <w:right w:val="none" w:sz="0" w:space="0" w:color="auto"/>
        <w:insideH w:val="single" w:sz="12" w:space="0" w:color="92D050"/>
        <w:insideV w:val="none" w:sz="0" w:space="0" w:color="auto"/>
      </w:tblBorders>
      <w:tblCellMar>
        <w:left w:w="0" w:type="dxa"/>
        <w:right w:w="0" w:type="dxa"/>
      </w:tblCellMar>
      <w:tblLook w:val="04A0" w:firstRow="1" w:lastRow="0" w:firstColumn="1" w:lastColumn="0" w:noHBand="0" w:noVBand="1"/>
    </w:tblPr>
    <w:tblGrid>
      <w:gridCol w:w="4913"/>
      <w:gridCol w:w="5435"/>
    </w:tblGrid>
    <w:tr w:rsidR="003925FA" w:rsidRPr="0063784B" w:rsidTr="00015DF9">
      <w:trPr>
        <w:trHeight w:val="567"/>
      </w:trPr>
      <w:tc>
        <w:tcPr>
          <w:tcW w:w="5000" w:type="pct"/>
          <w:gridSpan w:val="2"/>
          <w:tcBorders>
            <w:top w:val="nil"/>
            <w:bottom w:val="single" w:sz="4" w:space="0" w:color="7AB800" w:themeColor="accent1"/>
          </w:tcBorders>
          <w:vAlign w:val="bottom"/>
        </w:tcPr>
        <w:p w:rsidR="003925FA" w:rsidRPr="0063784B" w:rsidRDefault="003925FA" w:rsidP="00C76070">
          <w:pPr>
            <w:pStyle w:val="FooterText"/>
            <w:rPr>
              <w:lang w:val="en-GB"/>
            </w:rPr>
          </w:pPr>
        </w:p>
      </w:tc>
    </w:tr>
    <w:tr w:rsidR="003925FA" w:rsidRPr="0063784B" w:rsidTr="00015DF9">
      <w:tblPrEx>
        <w:tblBorders>
          <w:top w:val="single" w:sz="4" w:space="0" w:color="353D30" w:themeColor="text1"/>
          <w:insideH w:val="none" w:sz="0" w:space="0" w:color="auto"/>
        </w:tblBorders>
      </w:tblPrEx>
      <w:trPr>
        <w:trHeight w:val="397"/>
      </w:trPr>
      <w:tc>
        <w:tcPr>
          <w:tcW w:w="2374" w:type="pct"/>
          <w:tcBorders>
            <w:top w:val="single" w:sz="4" w:space="0" w:color="7AB800" w:themeColor="accent1"/>
          </w:tcBorders>
          <w:vAlign w:val="bottom"/>
        </w:tcPr>
        <w:sdt>
          <w:sdtPr>
            <w:alias w:val="Footer Logo"/>
            <w:tag w:val="FooterLogo"/>
            <w:id w:val="393245189"/>
            <w:picture/>
          </w:sdtPr>
          <w:sdtEndPr/>
          <w:sdtContent>
            <w:p w:rsidR="003925FA" w:rsidRPr="0063784B" w:rsidRDefault="003925FA" w:rsidP="00C76070">
              <w:pPr>
                <w:pStyle w:val="Footer"/>
                <w:rPr>
                  <w:szCs w:val="12"/>
                </w:rPr>
              </w:pPr>
              <w:r>
                <w:rPr>
                  <w:noProof/>
                  <w:lang w:val="en-AU" w:eastAsia="en-AU"/>
                </w:rPr>
                <w:drawing>
                  <wp:inline distT="0" distB="0" distL="0" distR="0" wp14:anchorId="15404FF1" wp14:editId="5F479D33">
                    <wp:extent cx="2481077" cy="195072"/>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81077" cy="195072"/>
                            </a:xfrm>
                            <a:prstGeom prst="rect">
                              <a:avLst/>
                            </a:prstGeom>
                          </pic:spPr>
                        </pic:pic>
                      </a:graphicData>
                    </a:graphic>
                  </wp:inline>
                </w:drawing>
              </w:r>
            </w:p>
          </w:sdtContent>
        </w:sdt>
      </w:tc>
      <w:tc>
        <w:tcPr>
          <w:tcW w:w="2626" w:type="pct"/>
          <w:tcBorders>
            <w:top w:val="single" w:sz="4" w:space="0" w:color="7AB800" w:themeColor="accent1"/>
          </w:tcBorders>
          <w:vAlign w:val="bottom"/>
        </w:tcPr>
        <w:p w:rsidR="003925FA" w:rsidRDefault="003925FA" w:rsidP="00C76070">
          <w:pPr>
            <w:pStyle w:val="FooterText"/>
          </w:pPr>
          <w:r w:rsidRPr="00C224A9">
            <w:rPr>
              <w:b/>
            </w:rPr>
            <w:t>Project</w:t>
          </w:r>
          <w:r>
            <w:t> </w:t>
          </w:r>
          <w:sdt>
            <w:sdtPr>
              <w:alias w:val="Project Number"/>
              <w:tag w:val="ProjectNumber"/>
              <w:id w:val="-1875457050"/>
              <w:dataBinding w:xpath="/root[1]/projectno[1]" w:storeItemID="{FFD81A59-B074-45B3-B3B7-CA5E6F5AEDEE}"/>
              <w:text/>
            </w:sdtPr>
            <w:sdtEndPr/>
            <w:sdtContent>
              <w:r>
                <w:rPr>
                  <w:lang w:val="en-AU"/>
                </w:rPr>
                <w:t>234986</w:t>
              </w:r>
            </w:sdtContent>
          </w:sdt>
          <w:r w:rsidRPr="00C224A9">
            <w:t xml:space="preserve">  </w:t>
          </w:r>
          <w:r w:rsidRPr="00C224A9">
            <w:rPr>
              <w:b/>
            </w:rPr>
            <w:t>File</w:t>
          </w:r>
          <w:r>
            <w:t> </w:t>
          </w:r>
          <w:r w:rsidR="001474D4">
            <w:fldChar w:fldCharType="begin"/>
          </w:r>
          <w:r w:rsidR="001474D4">
            <w:instrText xml:space="preserve"> FILENAME  \* FirstCap  \* MERGEFORMAT </w:instrText>
          </w:r>
          <w:r w:rsidR="001474D4">
            <w:fldChar w:fldCharType="separate"/>
          </w:r>
          <w:r w:rsidR="00FF5EB2">
            <w:t>Final Supply Chains Report Part II FINALv2.docx</w:t>
          </w:r>
          <w:r w:rsidR="001474D4">
            <w:fldChar w:fldCharType="end"/>
          </w:r>
          <w:r w:rsidRPr="00C224A9">
            <w:t xml:space="preserve">  </w:t>
          </w:r>
          <w:sdt>
            <w:sdtPr>
              <w:rPr>
                <w:b/>
              </w:rPr>
              <w:alias w:val="Date"/>
              <w:tag w:val="Date"/>
              <w:id w:val="-1559544873"/>
              <w:dataBinding w:xpath="/root[1]/date[1]" w:storeItemID="{FFD81A59-B074-45B3-B3B7-CA5E6F5AEDEE}"/>
              <w:date w:fullDate="2013-09-09T00:00:00Z">
                <w:dateFormat w:val="dd MMMM yyyy"/>
                <w:lid w:val="en-GB"/>
                <w:storeMappedDataAs w:val="dateTime"/>
                <w:calendar w:val="gregorian"/>
              </w:date>
            </w:sdtPr>
            <w:sdtEndPr/>
            <w:sdtContent>
              <w:r>
                <w:rPr>
                  <w:b/>
                  <w:lang w:val="en-GB"/>
                </w:rPr>
                <w:t>09 September 2013</w:t>
              </w:r>
            </w:sdtContent>
          </w:sdt>
          <w:r w:rsidRPr="00C224A9">
            <w:t xml:space="preserve">  </w:t>
          </w:r>
        </w:p>
        <w:p w:rsidR="003925FA" w:rsidRPr="00C224A9" w:rsidRDefault="003925FA" w:rsidP="00C76070">
          <w:pPr>
            <w:pStyle w:val="FooterText"/>
            <w:rPr>
              <w:lang w:val="en-GB"/>
            </w:rPr>
          </w:pPr>
          <w:r w:rsidRPr="00C224A9">
            <w:t>Revision</w:t>
          </w:r>
          <w:r>
            <w:t> </w:t>
          </w:r>
          <w:sdt>
            <w:sdtPr>
              <w:alias w:val="Current Revision"/>
              <w:tag w:val="CurrentRevision"/>
              <w:id w:val="-191298857"/>
              <w:dataBinding w:xpath="/root[1]/revision[1]" w:storeItemID="{FFD81A59-B074-45B3-B3B7-CA5E6F5AEDEE}"/>
              <w:text/>
            </w:sdtPr>
            <w:sdtEndPr/>
            <w:sdtContent>
              <w:r>
                <w:rPr>
                  <w:lang w:val="en-AU"/>
                </w:rPr>
                <w:t>0</w:t>
              </w:r>
            </w:sdtContent>
          </w:sdt>
          <w:r w:rsidRPr="00C224A9">
            <w:t xml:space="preserve"> </w:t>
          </w:r>
          <w:r>
            <w:t xml:space="preserve"> </w:t>
          </w:r>
          <w:r w:rsidRPr="00C224A9">
            <w:rPr>
              <w:b/>
            </w:rPr>
            <w:t>Page </w:t>
          </w:r>
          <w:r w:rsidR="00CA7023" w:rsidRPr="00C224A9">
            <w:rPr>
              <w:b/>
              <w:noProof w:val="0"/>
            </w:rPr>
            <w:fldChar w:fldCharType="begin"/>
          </w:r>
          <w:r w:rsidRPr="00C224A9">
            <w:rPr>
              <w:b/>
            </w:rPr>
            <w:instrText xml:space="preserve"> PAGE   \* MERGEFORMAT </w:instrText>
          </w:r>
          <w:r w:rsidR="00CA7023" w:rsidRPr="00C224A9">
            <w:rPr>
              <w:b/>
              <w:noProof w:val="0"/>
            </w:rPr>
            <w:fldChar w:fldCharType="separate"/>
          </w:r>
          <w:r w:rsidR="001474D4">
            <w:rPr>
              <w:b/>
            </w:rPr>
            <w:t>28</w:t>
          </w:r>
          <w:r w:rsidR="00CA7023" w:rsidRPr="00C224A9">
            <w:rPr>
              <w:b/>
            </w:rPr>
            <w:fldChar w:fldCharType="end"/>
          </w:r>
        </w:p>
      </w:tc>
    </w:tr>
  </w:tbl>
  <w:p w:rsidR="003925FA" w:rsidRPr="00272547" w:rsidRDefault="003925FA" w:rsidP="00810E9A">
    <w:pPr>
      <w:pStyle w:val="FooterTex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626" w:type="pct"/>
      <w:tblInd w:w="-567" w:type="dxa"/>
      <w:tblBorders>
        <w:top w:val="none" w:sz="0" w:space="0" w:color="auto"/>
        <w:left w:val="none" w:sz="0" w:space="0" w:color="auto"/>
        <w:bottom w:val="none" w:sz="0" w:space="0" w:color="auto"/>
        <w:right w:val="none" w:sz="0" w:space="0" w:color="auto"/>
        <w:insideH w:val="single" w:sz="12" w:space="0" w:color="92D050"/>
        <w:insideV w:val="none" w:sz="0" w:space="0" w:color="auto"/>
      </w:tblBorders>
      <w:tblCellMar>
        <w:left w:w="0" w:type="dxa"/>
        <w:right w:w="0" w:type="dxa"/>
      </w:tblCellMar>
      <w:tblLook w:val="04A0" w:firstRow="1" w:lastRow="0" w:firstColumn="1" w:lastColumn="0" w:noHBand="0" w:noVBand="1"/>
    </w:tblPr>
    <w:tblGrid>
      <w:gridCol w:w="3907"/>
      <w:gridCol w:w="4251"/>
      <w:gridCol w:w="2049"/>
    </w:tblGrid>
    <w:tr w:rsidR="003925FA" w:rsidRPr="00D103B0" w:rsidTr="0080145A">
      <w:trPr>
        <w:trHeight w:val="567"/>
      </w:trPr>
      <w:tc>
        <w:tcPr>
          <w:tcW w:w="5000" w:type="pct"/>
          <w:gridSpan w:val="3"/>
          <w:tcBorders>
            <w:top w:val="nil"/>
            <w:bottom w:val="single" w:sz="4" w:space="0" w:color="7AB800" w:themeColor="accent1"/>
          </w:tcBorders>
          <w:vAlign w:val="bottom"/>
        </w:tcPr>
        <w:p w:rsidR="003925FA" w:rsidRPr="00D103B0" w:rsidRDefault="003925FA" w:rsidP="00810E9A">
          <w:pPr>
            <w:pStyle w:val="FooterText"/>
          </w:pPr>
        </w:p>
      </w:tc>
    </w:tr>
    <w:tr w:rsidR="003925FA" w:rsidRPr="00D103B0" w:rsidTr="0080145A">
      <w:tblPrEx>
        <w:tblBorders>
          <w:top w:val="single" w:sz="4" w:space="0" w:color="353D30" w:themeColor="text1"/>
          <w:insideH w:val="none" w:sz="0" w:space="0" w:color="auto"/>
        </w:tblBorders>
      </w:tblPrEx>
      <w:trPr>
        <w:trHeight w:val="250"/>
      </w:trPr>
      <w:tc>
        <w:tcPr>
          <w:tcW w:w="1307" w:type="pct"/>
          <w:tcBorders>
            <w:top w:val="single" w:sz="4" w:space="0" w:color="7AB800" w:themeColor="accent1"/>
          </w:tcBorders>
          <w:vAlign w:val="bottom"/>
        </w:tcPr>
        <w:sdt>
          <w:sdtPr>
            <w:rPr>
              <w:noProof/>
            </w:rPr>
            <w:alias w:val="Footer Logo"/>
            <w:tag w:val="FooterLogo"/>
            <w:id w:val="1827929349"/>
            <w:picture/>
          </w:sdtPr>
          <w:sdtEndPr/>
          <w:sdtContent>
            <w:p w:rsidR="003925FA" w:rsidRPr="00D103B0" w:rsidRDefault="003925FA" w:rsidP="00C350BA">
              <w:pPr>
                <w:pStyle w:val="Footer"/>
              </w:pPr>
              <w:r>
                <w:rPr>
                  <w:noProof/>
                  <w:lang w:val="en-AU" w:eastAsia="en-AU"/>
                </w:rPr>
                <w:drawing>
                  <wp:inline distT="0" distB="0" distL="0" distR="0" wp14:anchorId="26CF8F28" wp14:editId="03B3C215">
                    <wp:extent cx="2481077" cy="195072"/>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81077" cy="195072"/>
                            </a:xfrm>
                            <a:prstGeom prst="rect">
                              <a:avLst/>
                            </a:prstGeom>
                          </pic:spPr>
                        </pic:pic>
                      </a:graphicData>
                    </a:graphic>
                  </wp:inline>
                </w:drawing>
              </w:r>
            </w:p>
          </w:sdtContent>
        </w:sdt>
      </w:tc>
      <w:tc>
        <w:tcPr>
          <w:tcW w:w="2386" w:type="pct"/>
          <w:tcBorders>
            <w:top w:val="single" w:sz="4" w:space="0" w:color="7AB800" w:themeColor="accent1"/>
          </w:tcBorders>
          <w:vAlign w:val="bottom"/>
        </w:tcPr>
        <w:p w:rsidR="003925FA" w:rsidRPr="00D103B0" w:rsidRDefault="003925FA" w:rsidP="00810E9A">
          <w:pPr>
            <w:pStyle w:val="FooterText"/>
          </w:pPr>
          <w:r w:rsidRPr="00D103B0">
            <w:t xml:space="preserve">Project </w:t>
          </w:r>
          <w:sdt>
            <w:sdtPr>
              <w:alias w:val="Project Number"/>
              <w:tag w:val="ProjectNo"/>
              <w:id w:val="271049181"/>
              <w:dataBinding w:xpath="/root[1]/projectno[1]" w:storeItemID="{FFD81A59-B074-45B3-B3B7-CA5E6F5AEDEE}"/>
              <w:text/>
            </w:sdtPr>
            <w:sdtEndPr/>
            <w:sdtContent>
              <w:r>
                <w:rPr>
                  <w:lang w:val="en-AU"/>
                </w:rPr>
                <w:t>234986</w:t>
              </w:r>
            </w:sdtContent>
          </w:sdt>
          <w:r w:rsidRPr="00D103B0">
            <w:rPr>
              <w:caps/>
            </w:rPr>
            <w:t xml:space="preserve"> | </w:t>
          </w:r>
          <w:r w:rsidRPr="00D103B0">
            <w:t xml:space="preserve">File </w:t>
          </w:r>
          <w:r w:rsidR="001474D4">
            <w:fldChar w:fldCharType="begin"/>
          </w:r>
          <w:r w:rsidR="001474D4">
            <w:instrText xml:space="preserve"> FILENAME  \* FirstCap  \* MERGEFORMAT </w:instrText>
          </w:r>
          <w:r w:rsidR="001474D4">
            <w:fldChar w:fldCharType="separate"/>
          </w:r>
          <w:r w:rsidR="00FF5EB2">
            <w:t>Final Supply Chains Report Part II FINALv2.docx</w:t>
          </w:r>
          <w:r w:rsidR="001474D4">
            <w:fldChar w:fldCharType="end"/>
          </w:r>
          <w:r w:rsidRPr="00D103B0">
            <w:t xml:space="preserve"> </w:t>
          </w:r>
          <w:r w:rsidRPr="00D103B0">
            <w:rPr>
              <w:caps/>
            </w:rPr>
            <w:t>|</w:t>
          </w:r>
          <w:r w:rsidRPr="00D103B0">
            <w:t xml:space="preserve"> </w:t>
          </w:r>
          <w:sdt>
            <w:sdtPr>
              <w:rPr>
                <w:rStyle w:val="PlaceholderText"/>
              </w:rPr>
              <w:alias w:val="Report Date"/>
              <w:tag w:val="Date"/>
              <w:id w:val="1172759295"/>
              <w:dataBinding w:xpath="/root[1]/date[1]" w:storeItemID="{FFD81A59-B074-45B3-B3B7-CA5E6F5AEDEE}"/>
              <w:date w:fullDate="2013-09-09T00:00:00Z">
                <w:dateFormat w:val="d MMMM yyyy"/>
                <w:lid w:val="en-AU"/>
                <w:storeMappedDataAs w:val="dateTime"/>
                <w:calendar w:val="gregorian"/>
              </w:date>
            </w:sdtPr>
            <w:sdtEndPr>
              <w:rPr>
                <w:rStyle w:val="PlaceholderText"/>
              </w:rPr>
            </w:sdtEndPr>
            <w:sdtContent>
              <w:r>
                <w:rPr>
                  <w:rStyle w:val="PlaceholderText"/>
                  <w:lang w:val="en-AU"/>
                </w:rPr>
                <w:t>9 September 2013</w:t>
              </w:r>
            </w:sdtContent>
          </w:sdt>
          <w:r w:rsidRPr="00D103B0">
            <w:rPr>
              <w:rFonts w:eastAsiaTheme="minorEastAsia" w:cs="Times New Roman"/>
              <w:color w:val="353D3A"/>
            </w:rPr>
            <w:t xml:space="preserve"> | </w:t>
          </w:r>
          <w:r>
            <w:t>Revision</w:t>
          </w:r>
          <w:r>
            <w:rPr>
              <w:rFonts w:eastAsiaTheme="minorEastAsia" w:cs="Times New Roman"/>
              <w:color w:val="353D3A"/>
            </w:rPr>
            <w:t xml:space="preserve"> </w:t>
          </w:r>
          <w:sdt>
            <w:sdtPr>
              <w:rPr>
                <w:rStyle w:val="FooterTextChar"/>
              </w:rPr>
              <w:alias w:val="Current Revision"/>
              <w:tag w:val="CurrentRevision"/>
              <w:id w:val="-1207091930"/>
              <w:dataBinding w:xpath="/root[1]/revision[1]" w:storeItemID="{FFD81A59-B074-45B3-B3B7-CA5E6F5AEDEE}"/>
              <w:text/>
            </w:sdtPr>
            <w:sdtEndPr>
              <w:rPr>
                <w:rStyle w:val="DefaultParagraphFont"/>
                <w:rFonts w:eastAsiaTheme="minorEastAsia" w:cs="Times New Roman"/>
                <w:color w:val="353D3A"/>
              </w:rPr>
            </w:sdtEndPr>
            <w:sdtContent>
              <w:r>
                <w:rPr>
                  <w:rStyle w:val="FooterTextChar"/>
                </w:rPr>
                <w:t>0</w:t>
              </w:r>
            </w:sdtContent>
          </w:sdt>
        </w:p>
      </w:tc>
      <w:tc>
        <w:tcPr>
          <w:tcW w:w="1307" w:type="pct"/>
          <w:tcBorders>
            <w:top w:val="single" w:sz="4" w:space="0" w:color="7AB800" w:themeColor="accent1"/>
          </w:tcBorders>
          <w:vAlign w:val="bottom"/>
        </w:tcPr>
        <w:sdt>
          <w:sdtPr>
            <w:rPr>
              <w:noProof/>
              <w:spacing w:val="-2"/>
              <w:kern w:val="2"/>
              <w:position w:val="-2"/>
            </w:rPr>
            <w:alias w:val="Footer Right Image"/>
            <w:tag w:val="FooterRightImage"/>
            <w:id w:val="474719688"/>
            <w:picture/>
          </w:sdtPr>
          <w:sdtEndPr/>
          <w:sdtContent>
            <w:p w:rsidR="003925FA" w:rsidRPr="00D103B0" w:rsidRDefault="003925FA" w:rsidP="00C350BA">
              <w:pPr>
                <w:pStyle w:val="Footer"/>
              </w:pPr>
              <w:r>
                <w:rPr>
                  <w:noProof/>
                  <w:lang w:val="en-AU" w:eastAsia="en-AU"/>
                </w:rPr>
                <w:drawing>
                  <wp:inline distT="0" distB="0" distL="0" distR="0" wp14:anchorId="6F0AC915" wp14:editId="0BD11A47">
                    <wp:extent cx="1152146" cy="97536"/>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tretch>
                              <a:fillRect/>
                            </a:stretch>
                          </pic:blipFill>
                          <pic:spPr bwMode="auto">
                            <a:xfrm>
                              <a:off x="0" y="0"/>
                              <a:ext cx="1152146" cy="97536"/>
                            </a:xfrm>
                            <a:prstGeom prst="rect">
                              <a:avLst/>
                            </a:prstGeom>
                            <a:noFill/>
                            <a:ln>
                              <a:noFill/>
                            </a:ln>
                          </pic:spPr>
                        </pic:pic>
                      </a:graphicData>
                    </a:graphic>
                  </wp:inline>
                </w:drawing>
              </w:r>
            </w:p>
          </w:sdtContent>
        </w:sdt>
      </w:tc>
    </w:tr>
  </w:tbl>
  <w:p w:rsidR="003925FA" w:rsidRDefault="003925FA" w:rsidP="00C350BA">
    <w:pPr>
      <w:pStyle w:val="Footer"/>
    </w:pPr>
  </w:p>
  <w:p w:rsidR="003925FA" w:rsidRDefault="003925FA" w:rsidP="00C350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single" w:sz="12" w:space="0" w:color="92D050"/>
        <w:insideV w:val="none" w:sz="0" w:space="0" w:color="auto"/>
      </w:tblBorders>
      <w:tblCellMar>
        <w:left w:w="0" w:type="dxa"/>
        <w:right w:w="0" w:type="dxa"/>
      </w:tblCellMar>
      <w:tblLook w:val="04A0" w:firstRow="1" w:lastRow="0" w:firstColumn="1" w:lastColumn="0" w:noHBand="0" w:noVBand="1"/>
    </w:tblPr>
    <w:tblGrid>
      <w:gridCol w:w="3907"/>
      <w:gridCol w:w="3184"/>
      <w:gridCol w:w="1980"/>
    </w:tblGrid>
    <w:tr w:rsidR="003925FA" w:rsidRPr="00D103B0" w:rsidTr="00F54FC4">
      <w:trPr>
        <w:trHeight w:val="567"/>
      </w:trPr>
      <w:tc>
        <w:tcPr>
          <w:tcW w:w="5000" w:type="pct"/>
          <w:gridSpan w:val="3"/>
          <w:tcBorders>
            <w:top w:val="nil"/>
            <w:bottom w:val="single" w:sz="4" w:space="0" w:color="7AB800" w:themeColor="accent1"/>
          </w:tcBorders>
          <w:vAlign w:val="bottom"/>
        </w:tcPr>
        <w:p w:rsidR="003925FA" w:rsidRPr="00D103B0" w:rsidRDefault="00D75D2B" w:rsidP="00C350BA">
          <w:pPr>
            <w:pStyle w:val="Footer"/>
          </w:pPr>
          <w:r>
            <w:fldChar w:fldCharType="begin"/>
          </w:r>
          <w:r>
            <w:instrText xml:space="preserve"> PAGE  \* roman  \* MERGEFORMAT </w:instrText>
          </w:r>
          <w:r>
            <w:fldChar w:fldCharType="separate"/>
          </w:r>
          <w:r w:rsidR="003925FA">
            <w:rPr>
              <w:noProof/>
            </w:rPr>
            <w:t>i</w:t>
          </w:r>
          <w:r>
            <w:rPr>
              <w:noProof/>
            </w:rPr>
            <w:fldChar w:fldCharType="end"/>
          </w:r>
        </w:p>
      </w:tc>
    </w:tr>
    <w:tr w:rsidR="003925FA" w:rsidRPr="00D103B0" w:rsidTr="00F54FC4">
      <w:tblPrEx>
        <w:tblBorders>
          <w:top w:val="single" w:sz="4" w:space="0" w:color="353D30" w:themeColor="text1"/>
          <w:insideH w:val="none" w:sz="0" w:space="0" w:color="auto"/>
        </w:tblBorders>
      </w:tblPrEx>
      <w:trPr>
        <w:trHeight w:val="250"/>
      </w:trPr>
      <w:tc>
        <w:tcPr>
          <w:tcW w:w="1200" w:type="pct"/>
          <w:tcBorders>
            <w:top w:val="single" w:sz="4" w:space="0" w:color="7AB800" w:themeColor="accent1"/>
          </w:tcBorders>
          <w:vAlign w:val="bottom"/>
        </w:tcPr>
        <w:sdt>
          <w:sdtPr>
            <w:rPr>
              <w:noProof/>
            </w:rPr>
            <w:alias w:val="Footer Logo"/>
            <w:tag w:val="FooterLogo"/>
            <w:id w:val="28484660"/>
            <w:picture/>
          </w:sdtPr>
          <w:sdtEndPr/>
          <w:sdtContent>
            <w:p w:rsidR="003925FA" w:rsidRPr="00D103B0" w:rsidRDefault="003925FA" w:rsidP="00C350BA">
              <w:pPr>
                <w:pStyle w:val="Footer"/>
              </w:pPr>
              <w:r>
                <w:rPr>
                  <w:noProof/>
                  <w:lang w:val="en-AU" w:eastAsia="en-AU"/>
                </w:rPr>
                <w:drawing>
                  <wp:inline distT="0" distB="0" distL="0" distR="0">
                    <wp:extent cx="2481077" cy="19507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81077" cy="195072"/>
                            </a:xfrm>
                            <a:prstGeom prst="rect">
                              <a:avLst/>
                            </a:prstGeom>
                          </pic:spPr>
                        </pic:pic>
                      </a:graphicData>
                    </a:graphic>
                  </wp:inline>
                </w:drawing>
              </w:r>
            </w:p>
          </w:sdtContent>
        </w:sdt>
      </w:tc>
      <w:tc>
        <w:tcPr>
          <w:tcW w:w="2578" w:type="pct"/>
          <w:tcBorders>
            <w:top w:val="single" w:sz="4" w:space="0" w:color="7AB800" w:themeColor="accent1"/>
          </w:tcBorders>
          <w:vAlign w:val="bottom"/>
        </w:tcPr>
        <w:p w:rsidR="003925FA" w:rsidRPr="00D103B0" w:rsidRDefault="003925FA" w:rsidP="00C350BA">
          <w:pPr>
            <w:pStyle w:val="Footer"/>
            <w:rPr>
              <w:noProof/>
            </w:rPr>
          </w:pPr>
        </w:p>
      </w:tc>
      <w:tc>
        <w:tcPr>
          <w:tcW w:w="1200" w:type="pct"/>
          <w:tcBorders>
            <w:top w:val="single" w:sz="4" w:space="0" w:color="7AB800" w:themeColor="accent1"/>
          </w:tcBorders>
          <w:vAlign w:val="bottom"/>
        </w:tcPr>
        <w:sdt>
          <w:sdtPr>
            <w:alias w:val="Footer Right Image"/>
            <w:tag w:val="FooterRightImage"/>
            <w:id w:val="28484661"/>
            <w:picture/>
          </w:sdtPr>
          <w:sdtEndPr/>
          <w:sdtContent>
            <w:p w:rsidR="003925FA" w:rsidRPr="00D103B0" w:rsidRDefault="003925FA" w:rsidP="00C350BA">
              <w:pPr>
                <w:pStyle w:val="Footer"/>
              </w:pPr>
              <w:r>
                <w:rPr>
                  <w:noProof/>
                  <w:lang w:val="en-AU" w:eastAsia="en-AU"/>
                </w:rPr>
                <w:drawing>
                  <wp:inline distT="0" distB="0" distL="0" distR="0">
                    <wp:extent cx="1249788" cy="106689"/>
                    <wp:effectExtent l="0" t="0" r="7620" b="762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249788" cy="106689"/>
                            </a:xfrm>
                            <a:prstGeom prst="rect">
                              <a:avLst/>
                            </a:prstGeom>
                          </pic:spPr>
                        </pic:pic>
                      </a:graphicData>
                    </a:graphic>
                  </wp:inline>
                </w:drawing>
              </w:r>
            </w:p>
          </w:sdtContent>
        </w:sdt>
      </w:tc>
    </w:tr>
  </w:tbl>
  <w:p w:rsidR="003925FA" w:rsidRDefault="003925FA" w:rsidP="00C350B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single" w:sz="12" w:space="0" w:color="92D050"/>
        <w:insideV w:val="none" w:sz="0" w:space="0" w:color="auto"/>
      </w:tblBorders>
      <w:tblCellMar>
        <w:left w:w="0" w:type="dxa"/>
        <w:right w:w="0" w:type="dxa"/>
      </w:tblCellMar>
      <w:tblLook w:val="04A0" w:firstRow="1" w:lastRow="0" w:firstColumn="1" w:lastColumn="0" w:noHBand="0" w:noVBand="1"/>
    </w:tblPr>
    <w:tblGrid>
      <w:gridCol w:w="3907"/>
      <w:gridCol w:w="3184"/>
      <w:gridCol w:w="1980"/>
    </w:tblGrid>
    <w:tr w:rsidR="003925FA" w:rsidRPr="00D103B0" w:rsidTr="00F54FC4">
      <w:trPr>
        <w:trHeight w:val="567"/>
      </w:trPr>
      <w:tc>
        <w:tcPr>
          <w:tcW w:w="5000" w:type="pct"/>
          <w:gridSpan w:val="3"/>
          <w:tcBorders>
            <w:top w:val="nil"/>
            <w:bottom w:val="single" w:sz="4" w:space="0" w:color="7AB800" w:themeColor="accent1"/>
          </w:tcBorders>
          <w:vAlign w:val="bottom"/>
        </w:tcPr>
        <w:p w:rsidR="003925FA" w:rsidRPr="00D103B0" w:rsidRDefault="00D75D2B" w:rsidP="00C350BA">
          <w:pPr>
            <w:pStyle w:val="Footer"/>
          </w:pPr>
          <w:r>
            <w:fldChar w:fldCharType="begin"/>
          </w:r>
          <w:r>
            <w:instrText xml:space="preserve"> PAGE  \* roman  \* MERGEFORMAT </w:instrText>
          </w:r>
          <w:r>
            <w:fldChar w:fldCharType="separate"/>
          </w:r>
          <w:r w:rsidR="003925FA">
            <w:rPr>
              <w:noProof/>
            </w:rPr>
            <w:t>i</w:t>
          </w:r>
          <w:r>
            <w:rPr>
              <w:noProof/>
            </w:rPr>
            <w:fldChar w:fldCharType="end"/>
          </w:r>
        </w:p>
      </w:tc>
    </w:tr>
    <w:tr w:rsidR="003925FA" w:rsidRPr="00D103B0" w:rsidTr="00F54FC4">
      <w:tblPrEx>
        <w:tblBorders>
          <w:top w:val="single" w:sz="4" w:space="0" w:color="353D30" w:themeColor="text1"/>
          <w:insideH w:val="none" w:sz="0" w:space="0" w:color="auto"/>
        </w:tblBorders>
      </w:tblPrEx>
      <w:trPr>
        <w:trHeight w:val="250"/>
      </w:trPr>
      <w:tc>
        <w:tcPr>
          <w:tcW w:w="1200" w:type="pct"/>
          <w:tcBorders>
            <w:top w:val="single" w:sz="4" w:space="0" w:color="7AB800" w:themeColor="accent1"/>
          </w:tcBorders>
          <w:vAlign w:val="bottom"/>
        </w:tcPr>
        <w:sdt>
          <w:sdtPr>
            <w:rPr>
              <w:noProof/>
            </w:rPr>
            <w:alias w:val="Footer Logo"/>
            <w:tag w:val="FooterLogo"/>
            <w:id w:val="28484662"/>
            <w:picture/>
          </w:sdtPr>
          <w:sdtEndPr/>
          <w:sdtContent>
            <w:p w:rsidR="003925FA" w:rsidRPr="00D103B0" w:rsidRDefault="003925FA" w:rsidP="00C350BA">
              <w:pPr>
                <w:pStyle w:val="Footer"/>
              </w:pPr>
              <w:r>
                <w:rPr>
                  <w:noProof/>
                  <w:lang w:val="en-AU" w:eastAsia="en-AU"/>
                </w:rPr>
                <w:drawing>
                  <wp:inline distT="0" distB="0" distL="0" distR="0">
                    <wp:extent cx="2481077" cy="195072"/>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81077" cy="195072"/>
                            </a:xfrm>
                            <a:prstGeom prst="rect">
                              <a:avLst/>
                            </a:prstGeom>
                          </pic:spPr>
                        </pic:pic>
                      </a:graphicData>
                    </a:graphic>
                  </wp:inline>
                </w:drawing>
              </w:r>
            </w:p>
          </w:sdtContent>
        </w:sdt>
      </w:tc>
      <w:tc>
        <w:tcPr>
          <w:tcW w:w="2578" w:type="pct"/>
          <w:tcBorders>
            <w:top w:val="single" w:sz="4" w:space="0" w:color="7AB800" w:themeColor="accent1"/>
          </w:tcBorders>
          <w:vAlign w:val="bottom"/>
        </w:tcPr>
        <w:p w:rsidR="003925FA" w:rsidRPr="00D103B0" w:rsidRDefault="003925FA" w:rsidP="00C350BA">
          <w:pPr>
            <w:pStyle w:val="Footer"/>
            <w:rPr>
              <w:noProof/>
            </w:rPr>
          </w:pPr>
        </w:p>
      </w:tc>
      <w:tc>
        <w:tcPr>
          <w:tcW w:w="1200" w:type="pct"/>
          <w:tcBorders>
            <w:top w:val="single" w:sz="4" w:space="0" w:color="7AB800" w:themeColor="accent1"/>
          </w:tcBorders>
          <w:vAlign w:val="bottom"/>
        </w:tcPr>
        <w:sdt>
          <w:sdtPr>
            <w:alias w:val="Footer Right Image"/>
            <w:tag w:val="FooterRightImage"/>
            <w:id w:val="28484663"/>
            <w:picture/>
          </w:sdtPr>
          <w:sdtEndPr/>
          <w:sdtContent>
            <w:p w:rsidR="003925FA" w:rsidRPr="00D103B0" w:rsidRDefault="003925FA" w:rsidP="00C350BA">
              <w:pPr>
                <w:pStyle w:val="Footer"/>
              </w:pPr>
              <w:r>
                <w:rPr>
                  <w:noProof/>
                  <w:lang w:val="en-AU" w:eastAsia="en-AU"/>
                </w:rPr>
                <w:drawing>
                  <wp:inline distT="0" distB="0" distL="0" distR="0">
                    <wp:extent cx="1249788" cy="106689"/>
                    <wp:effectExtent l="0" t="0" r="7620" b="762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249788" cy="106689"/>
                            </a:xfrm>
                            <a:prstGeom prst="rect">
                              <a:avLst/>
                            </a:prstGeom>
                          </pic:spPr>
                        </pic:pic>
                      </a:graphicData>
                    </a:graphic>
                  </wp:inline>
                </w:drawing>
              </w:r>
            </w:p>
          </w:sdtContent>
        </w:sdt>
      </w:tc>
    </w:tr>
  </w:tbl>
  <w:p w:rsidR="003925FA" w:rsidRDefault="003925FA" w:rsidP="00C350B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FA" w:rsidRPr="00E52AD8" w:rsidRDefault="003925FA" w:rsidP="00E52A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5FA" w:rsidRDefault="003925FA" w:rsidP="00C350BA">
      <w:r>
        <w:separator/>
      </w:r>
    </w:p>
  </w:footnote>
  <w:footnote w:type="continuationSeparator" w:id="0">
    <w:p w:rsidR="003925FA" w:rsidRDefault="003925FA" w:rsidP="00C350BA">
      <w:r>
        <w:continuationSeparator/>
      </w:r>
    </w:p>
  </w:footnote>
  <w:footnote w:type="continuationNotice" w:id="1">
    <w:p w:rsidR="003925FA" w:rsidRDefault="003925FA" w:rsidP="00C350BA"/>
  </w:footnote>
  <w:footnote w:id="2">
    <w:p w:rsidR="003925FA" w:rsidRPr="00943323" w:rsidRDefault="003925FA" w:rsidP="001D1810">
      <w:pPr>
        <w:pStyle w:val="FootnoteText"/>
        <w:rPr>
          <w:sz w:val="18"/>
          <w:szCs w:val="18"/>
          <w:lang w:val="en-AU"/>
        </w:rPr>
      </w:pPr>
      <w:r>
        <w:rPr>
          <w:rStyle w:val="FootnoteReference"/>
        </w:rPr>
        <w:footnoteRef/>
      </w:r>
      <w:r>
        <w:t xml:space="preserve"> </w:t>
      </w:r>
      <w:r w:rsidRPr="00943323">
        <w:rPr>
          <w:sz w:val="18"/>
          <w:szCs w:val="18"/>
          <w:lang w:val="en-AU"/>
        </w:rPr>
        <w:t>Prepared by GPS Logistics (Tas) Pty Ltd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FA" w:rsidRDefault="001474D4" w:rsidP="00C350BA">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3" type="#_x0000_t136" style="position:absolute;left:0;text-align:left;margin-left:0;margin-top:0;width:454.4pt;height:173.1pt;rotation:315;z-index:251660800;mso-position-horizontal:center;mso-position-horizontal-relative:page;mso-position-vertical:center;mso-position-vertical-relative:page" o:allowincell="f" fillcolor="silver" stroked="f">
          <v:fill opacity=".5"/>
          <v:stroke r:id="rId1" o:title=""/>
          <v:shadow color="#868686"/>
          <v:textpath style="font-family:&quot;Arial&quot;;font-size:10pt;v-text-kern:t" trim="t" fitpath="t" string="DRAFT"/>
          <o:lock v:ext="edit" aspectratio="t"/>
          <w10:wrap side="largest"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FA" w:rsidRDefault="001474D4" w:rsidP="00C350BA">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left:0;text-align:left;margin-left:0;margin-top:0;width:454.4pt;height:173.1pt;rotation:315;z-index:251657728;mso-position-horizontal:center;mso-position-horizontal-relative:page;mso-position-vertical:center;mso-position-vertical-relative:page" o:allowincell="f" fillcolor="silver" stroked="f">
          <v:fill opacity=".5"/>
          <v:stroke r:id="rId1" o:title=""/>
          <v:shadow color="#868686"/>
          <v:textpath style="font-family:&quot;Arial&quot;;font-size:10pt;v-text-kern:t" trim="t" fitpath="t" string="DRAFT"/>
          <o:lock v:ext="edit" aspectratio="t"/>
          <w10:wrap side="largest" anchorx="page" anchory="page"/>
        </v:shape>
      </w:pict>
    </w:r>
    <w:r w:rsidR="003925FA">
      <w:rPr>
        <w:noProof/>
        <w:lang w:val="en-AU" w:eastAsia="en-AU"/>
      </w:rPr>
      <w:drawing>
        <wp:anchor distT="0" distB="540385" distL="114300" distR="114300" simplePos="0" relativeHeight="251644416" behindDoc="0" locked="0" layoutInCell="1" allowOverlap="1">
          <wp:simplePos x="0" y="0"/>
          <wp:positionH relativeFrom="column">
            <wp:posOffset>-360680</wp:posOffset>
          </wp:positionH>
          <wp:positionV relativeFrom="margin">
            <wp:posOffset>0</wp:posOffset>
          </wp:positionV>
          <wp:extent cx="6476365" cy="492760"/>
          <wp:effectExtent l="19050" t="0" r="635" b="0"/>
          <wp:wrapTopAndBottom/>
          <wp:docPr id="24" name="Picture 24" descr="2. hatching header_Aurecon Grey TINT BG2C3Y5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hatching header_Aurecon Grey TINT BG2C3Y5K.eps"/>
                  <pic:cNvPicPr/>
                </pic:nvPicPr>
                <pic:blipFill>
                  <a:blip r:embed="rId2"/>
                  <a:stretch>
                    <a:fillRect/>
                  </a:stretch>
                </pic:blipFill>
                <pic:spPr>
                  <a:xfrm>
                    <a:off x="0" y="0"/>
                    <a:ext cx="6476365" cy="49276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FA" w:rsidRDefault="003925FA" w:rsidP="00C350BA">
    <w:pPr>
      <w:pStyle w:val="Header"/>
    </w:pPr>
    <w:r w:rsidRPr="00EE291E">
      <w:rPr>
        <w:noProof/>
        <w:lang w:val="en-AU" w:eastAsia="en-AU"/>
      </w:rPr>
      <w:drawing>
        <wp:anchor distT="0" distB="0" distL="114300" distR="114300" simplePos="0" relativeHeight="251655168" behindDoc="0" locked="0" layoutInCell="0" allowOverlap="0">
          <wp:simplePos x="0" y="0"/>
          <wp:positionH relativeFrom="page">
            <wp:posOffset>540385</wp:posOffset>
          </wp:positionH>
          <wp:positionV relativeFrom="page">
            <wp:posOffset>360045</wp:posOffset>
          </wp:positionV>
          <wp:extent cx="6487200" cy="493200"/>
          <wp:effectExtent l="0" t="0" r="0" b="2540"/>
          <wp:wrapNone/>
          <wp:docPr id="26" name="Picture 24" descr="2. hatching header_Aurecon Grey TINT BG2C3Y5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hatching header_Aurecon Grey TINT BG2C3Y5K.eps"/>
                  <pic:cNvPicPr/>
                </pic:nvPicPr>
                <pic:blipFill>
                  <a:blip r:embed="rId1">
                    <a:extLst>
                      <a:ext uri="{28A0092B-C50C-407E-A947-70E740481C1C}">
                        <a14:useLocalDpi xmlns:a14="http://schemas.microsoft.com/office/drawing/2010/main" val="0"/>
                      </a:ext>
                    </a:extLst>
                  </a:blip>
                  <a:stretch>
                    <a:fillRect/>
                  </a:stretch>
                </pic:blipFill>
                <pic:spPr>
                  <a:xfrm>
                    <a:off x="0" y="0"/>
                    <a:ext cx="6487200" cy="49320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FA" w:rsidRPr="009A3B58" w:rsidRDefault="003925FA" w:rsidP="007B688B">
    <w:pPr>
      <w:pStyle w:val="Header"/>
      <w:rPr>
        <w:sz w:val="72"/>
        <w:szCs w:val="72"/>
      </w:rPr>
    </w:pPr>
    <w:r w:rsidRPr="009A3B58">
      <w:rPr>
        <w:noProof/>
        <w:color w:val="808080" w:themeColor="background1" w:themeShade="80"/>
        <w:sz w:val="72"/>
        <w:szCs w:val="72"/>
        <w:lang w:val="en-AU" w:eastAsia="en-AU"/>
      </w:rPr>
      <w:drawing>
        <wp:anchor distT="0" distB="0" distL="114300" distR="114300" simplePos="0" relativeHeight="251657216" behindDoc="0" locked="0" layoutInCell="0" allowOverlap="0">
          <wp:simplePos x="0" y="0"/>
          <wp:positionH relativeFrom="page">
            <wp:posOffset>890546</wp:posOffset>
          </wp:positionH>
          <wp:positionV relativeFrom="page">
            <wp:posOffset>357809</wp:posOffset>
          </wp:positionV>
          <wp:extent cx="6138039" cy="492981"/>
          <wp:effectExtent l="0" t="0" r="0" b="2540"/>
          <wp:wrapNone/>
          <wp:docPr id="94" name="Picture 24" descr="2. hatching header_Aurecon Grey TINT BG2C3Y5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hatching header_Aurecon Grey TINT BG2C3Y5K.eps"/>
                  <pic:cNvPicPr/>
                </pic:nvPicPr>
                <pic:blipFill>
                  <a:blip r:embed="rId1">
                    <a:extLst>
                      <a:ext uri="{28A0092B-C50C-407E-A947-70E740481C1C}">
                        <a14:useLocalDpi xmlns:a14="http://schemas.microsoft.com/office/drawing/2010/main" val="0"/>
                      </a:ext>
                    </a:extLst>
                  </a:blip>
                  <a:stretch>
                    <a:fillRect/>
                  </a:stretch>
                </pic:blipFill>
                <pic:spPr>
                  <a:xfrm>
                    <a:off x="0" y="0"/>
                    <a:ext cx="6135287" cy="492760"/>
                  </a:xfrm>
                  <a:prstGeom prst="rect">
                    <a:avLst/>
                  </a:prstGeom>
                  <a:noFill/>
                  <a:ln>
                    <a:noFill/>
                  </a:ln>
                </pic:spPr>
              </pic:pic>
            </a:graphicData>
          </a:graphic>
        </wp:anchor>
      </w:drawing>
    </w:r>
  </w:p>
  <w:p w:rsidR="003925FA" w:rsidRPr="0063784B" w:rsidRDefault="003925FA" w:rsidP="00C350B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FA" w:rsidRPr="0063784B" w:rsidRDefault="003925FA" w:rsidP="00C350BA">
    <w:pPr>
      <w:pStyle w:val="Header"/>
    </w:pPr>
    <w:r w:rsidRPr="00667282">
      <w:rPr>
        <w:noProof/>
        <w:lang w:val="en-AU" w:eastAsia="en-AU"/>
      </w:rPr>
      <w:drawing>
        <wp:anchor distT="0" distB="0" distL="114300" distR="114300" simplePos="0" relativeHeight="251659264" behindDoc="0" locked="0" layoutInCell="0" allowOverlap="0">
          <wp:simplePos x="0" y="0"/>
          <wp:positionH relativeFrom="page">
            <wp:posOffset>540385</wp:posOffset>
          </wp:positionH>
          <wp:positionV relativeFrom="page">
            <wp:posOffset>360045</wp:posOffset>
          </wp:positionV>
          <wp:extent cx="6487200" cy="493200"/>
          <wp:effectExtent l="0" t="0" r="0" b="2540"/>
          <wp:wrapNone/>
          <wp:docPr id="3" name="Picture 24" descr="2. hatching header_Aurecon Grey TINT BG2C3Y5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hatching header_Aurecon Grey TINT BG2C3Y5K.eps"/>
                  <pic:cNvPicPr/>
                </pic:nvPicPr>
                <pic:blipFill>
                  <a:blip r:embed="rId1">
                    <a:extLst>
                      <a:ext uri="{28A0092B-C50C-407E-A947-70E740481C1C}">
                        <a14:useLocalDpi xmlns:a14="http://schemas.microsoft.com/office/drawing/2010/main" val="0"/>
                      </a:ext>
                    </a:extLst>
                  </a:blip>
                  <a:stretch>
                    <a:fillRect/>
                  </a:stretch>
                </pic:blipFill>
                <pic:spPr>
                  <a:xfrm>
                    <a:off x="0" y="0"/>
                    <a:ext cx="6487200" cy="49320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FA" w:rsidRPr="0063784B" w:rsidRDefault="003925FA" w:rsidP="00C350BA">
    <w:pPr>
      <w:pStyle w:val="Header"/>
    </w:pPr>
    <w:r w:rsidRPr="00667282">
      <w:rPr>
        <w:noProof/>
        <w:lang w:val="en-AU" w:eastAsia="en-AU"/>
      </w:rPr>
      <w:drawing>
        <wp:anchor distT="0" distB="0" distL="114300" distR="114300" simplePos="0" relativeHeight="251661312" behindDoc="0" locked="0" layoutInCell="0" allowOverlap="0">
          <wp:simplePos x="0" y="0"/>
          <wp:positionH relativeFrom="page">
            <wp:posOffset>540385</wp:posOffset>
          </wp:positionH>
          <wp:positionV relativeFrom="page">
            <wp:posOffset>360045</wp:posOffset>
          </wp:positionV>
          <wp:extent cx="6487200" cy="493200"/>
          <wp:effectExtent l="0" t="0" r="0" b="2540"/>
          <wp:wrapNone/>
          <wp:docPr id="13" name="Picture 24" descr="2. hatching header_Aurecon Grey TINT BG2C3Y5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hatching header_Aurecon Grey TINT BG2C3Y5K.eps"/>
                  <pic:cNvPicPr/>
                </pic:nvPicPr>
                <pic:blipFill>
                  <a:blip r:embed="rId1">
                    <a:extLst>
                      <a:ext uri="{28A0092B-C50C-407E-A947-70E740481C1C}">
                        <a14:useLocalDpi xmlns:a14="http://schemas.microsoft.com/office/drawing/2010/main" val="0"/>
                      </a:ext>
                    </a:extLst>
                  </a:blip>
                  <a:stretch>
                    <a:fillRect/>
                  </a:stretch>
                </pic:blipFill>
                <pic:spPr>
                  <a:xfrm>
                    <a:off x="0" y="0"/>
                    <a:ext cx="6487200" cy="493200"/>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FA" w:rsidRPr="0063784B" w:rsidRDefault="003925FA" w:rsidP="00C350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83EA4284"/>
    <w:lvl w:ilvl="0">
      <w:start w:val="1"/>
      <w:numFmt w:val="decimal"/>
      <w:pStyle w:val="ListNumber2"/>
      <w:lvlText w:val="%1."/>
      <w:lvlJc w:val="left"/>
      <w:pPr>
        <w:tabs>
          <w:tab w:val="num" w:pos="643"/>
        </w:tabs>
        <w:ind w:left="643" w:hanging="360"/>
      </w:pPr>
    </w:lvl>
  </w:abstractNum>
  <w:abstractNum w:abstractNumId="1">
    <w:nsid w:val="FFFFFF88"/>
    <w:multiLevelType w:val="singleLevel"/>
    <w:tmpl w:val="1A08F45A"/>
    <w:lvl w:ilvl="0">
      <w:start w:val="1"/>
      <w:numFmt w:val="decimal"/>
      <w:pStyle w:val="ListNumber"/>
      <w:lvlText w:val="%1."/>
      <w:lvlJc w:val="left"/>
      <w:pPr>
        <w:tabs>
          <w:tab w:val="num" w:pos="360"/>
        </w:tabs>
        <w:ind w:left="360" w:hanging="360"/>
      </w:pPr>
    </w:lvl>
  </w:abstractNum>
  <w:abstractNum w:abstractNumId="2">
    <w:nsid w:val="08792D81"/>
    <w:multiLevelType w:val="multilevel"/>
    <w:tmpl w:val="F7B44CC8"/>
    <w:lvl w:ilvl="0">
      <w:start w:val="1"/>
      <w:numFmt w:val="bullet"/>
      <w:lvlText w:val=""/>
      <w:lvlJc w:val="left"/>
      <w:pPr>
        <w:ind w:left="360" w:hanging="360"/>
      </w:pPr>
      <w:rPr>
        <w:rFonts w:ascii="Symbol" w:hAnsi="Symbol" w:hint="default"/>
        <w:color w:val="7AB800" w:themeColor="accent1"/>
        <w:sz w:val="1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C106396"/>
    <w:multiLevelType w:val="hybridMultilevel"/>
    <w:tmpl w:val="74CC50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7D446DF"/>
    <w:multiLevelType w:val="multilevel"/>
    <w:tmpl w:val="ED92989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C657BE5"/>
    <w:multiLevelType w:val="multilevel"/>
    <w:tmpl w:val="49CC775A"/>
    <w:lvl w:ilvl="0">
      <w:start w:val="1"/>
      <w:numFmt w:val="decimal"/>
      <w:lvlText w:val="%1."/>
      <w:lvlJc w:val="left"/>
      <w:pPr>
        <w:ind w:left="720" w:hanging="360"/>
      </w:pPr>
      <w:rPr>
        <w:rFonts w:hint="default"/>
        <w:i/>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A145197"/>
    <w:multiLevelType w:val="multilevel"/>
    <w:tmpl w:val="271235C0"/>
    <w:lvl w:ilvl="0">
      <w:start w:val="1"/>
      <w:numFmt w:val="bullet"/>
      <w:lvlText w:val=""/>
      <w:lvlJc w:val="left"/>
      <w:pPr>
        <w:ind w:left="360" w:hanging="360"/>
      </w:pPr>
      <w:rPr>
        <w:rFonts w:ascii="Wingdings" w:hAnsi="Wingdings" w:hint="default"/>
      </w:rPr>
    </w:lvl>
    <w:lvl w:ilvl="1">
      <w:start w:val="1"/>
      <w:numFmt w:val="bullet"/>
      <w:pStyle w:val="Bullet2"/>
      <w:lvlText w:val=""/>
      <w:lvlJc w:val="left"/>
      <w:pPr>
        <w:ind w:left="720" w:hanging="360"/>
      </w:pPr>
      <w:rPr>
        <w:rFonts w:ascii="Symbol" w:hAnsi="Symbol" w:hint="default"/>
        <w:color w:val="7AB800" w:themeColor="accent1"/>
        <w:sz w:val="18"/>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3DA52862"/>
    <w:multiLevelType w:val="multilevel"/>
    <w:tmpl w:val="44AAB6B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41773688"/>
    <w:multiLevelType w:val="hybridMultilevel"/>
    <w:tmpl w:val="6E22A8B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7CC14EC"/>
    <w:multiLevelType w:val="multilevel"/>
    <w:tmpl w:val="7C96FFD2"/>
    <w:lvl w:ilvl="0">
      <w:start w:val="1"/>
      <w:numFmt w:val="bullet"/>
      <w:lvlText w:val=""/>
      <w:lvlJc w:val="left"/>
      <w:pPr>
        <w:ind w:left="360" w:hanging="360"/>
      </w:pPr>
      <w:rPr>
        <w:rFonts w:ascii="Symbol" w:hAnsi="Symbol" w:hint="default"/>
        <w:color w:val="7AB800" w:themeColor="accent1"/>
        <w:sz w:val="1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4F4C4F3B"/>
    <w:multiLevelType w:val="multilevel"/>
    <w:tmpl w:val="6518C08A"/>
    <w:styleLink w:val="AureconNumbering"/>
    <w:lvl w:ilvl="0">
      <w:start w:val="1"/>
      <w:numFmt w:val="decimal"/>
      <w:lvlText w:val="%1"/>
      <w:lvlJc w:val="left"/>
      <w:pPr>
        <w:ind w:left="567" w:hanging="567"/>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none"/>
      <w:lvlRestart w:val="0"/>
      <w:suff w:val="nothing"/>
      <w:lvlText w:val=""/>
      <w:lvlJc w:val="left"/>
      <w:pPr>
        <w:ind w:left="0" w:firstLine="0"/>
      </w:pPr>
      <w:rPr>
        <w:rFonts w:hint="default"/>
        <w:b w:val="0"/>
        <w:i w:val="0"/>
        <w:iCs w:val="0"/>
        <w:caps w:val="0"/>
        <w:smallCaps w:val="0"/>
        <w:strike w:val="0"/>
        <w:dstrike w:val="0"/>
        <w:noProof w:val="0"/>
        <w:vanish w:val="0"/>
        <w:color w:val="000000"/>
        <w:position w:val="0"/>
        <w:u w:val="none"/>
        <w:vertAlign w:val="baseline"/>
        <w:em w:val="none"/>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nsid w:val="5465662A"/>
    <w:multiLevelType w:val="hybridMultilevel"/>
    <w:tmpl w:val="4AFA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5FF6D04"/>
    <w:multiLevelType w:val="multilevel"/>
    <w:tmpl w:val="86BA356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665528ED"/>
    <w:multiLevelType w:val="multilevel"/>
    <w:tmpl w:val="6130E638"/>
    <w:lvl w:ilvl="0">
      <w:start w:val="1"/>
      <w:numFmt w:val="bullet"/>
      <w:pStyle w:val="Bullet1"/>
      <w:lvlText w:val=""/>
      <w:lvlJc w:val="left"/>
      <w:pPr>
        <w:ind w:left="360" w:hanging="360"/>
      </w:pPr>
      <w:rPr>
        <w:rFonts w:ascii="Symbol" w:hAnsi="Symbol" w:hint="default"/>
        <w:b/>
        <w:i w:val="0"/>
        <w:color w:val="7AB800" w:themeColor="accent1"/>
        <w:sz w:val="2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98E47B1"/>
    <w:multiLevelType w:val="hybridMultilevel"/>
    <w:tmpl w:val="4DCACA76"/>
    <w:lvl w:ilvl="0" w:tplc="2D80DA7E">
      <w:start w:val="1"/>
      <w:numFmt w:val="bullet"/>
      <w:pStyle w:val="ListBullet"/>
      <w:lvlText w:val=""/>
      <w:lvlJc w:val="left"/>
      <w:pPr>
        <w:tabs>
          <w:tab w:val="num" w:pos="709"/>
        </w:tabs>
        <w:ind w:left="709"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A8547C1"/>
    <w:multiLevelType w:val="multilevel"/>
    <w:tmpl w:val="D488FF70"/>
    <w:lvl w:ilvl="0">
      <w:start w:val="1"/>
      <w:numFmt w:val="decimal"/>
      <w:lvlText w:val="%1."/>
      <w:lvlJc w:val="left"/>
      <w:pPr>
        <w:ind w:left="360" w:hanging="360"/>
      </w:pPr>
      <w:rPr>
        <w:rFonts w:hint="default"/>
        <w:b/>
        <w:i w:val="0"/>
      </w:rPr>
    </w:lvl>
    <w:lvl w:ilvl="1">
      <w:start w:val="1"/>
      <w:numFmt w:val="decimal"/>
      <w:lvlText w:val="%1.%2."/>
      <w:lvlJc w:val="left"/>
      <w:pPr>
        <w:ind w:left="2559"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E1C7E28"/>
    <w:multiLevelType w:val="hybridMultilevel"/>
    <w:tmpl w:val="2F2AE4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6F3A4ECB"/>
    <w:multiLevelType w:val="multilevel"/>
    <w:tmpl w:val="760E76D2"/>
    <w:styleLink w:val="Style4"/>
    <w:lvl w:ilvl="0">
      <w:start w:val="1"/>
      <w:numFmt w:val="decimal"/>
      <w:lvlText w:val="%1"/>
      <w:lvlJc w:val="left"/>
      <w:pPr>
        <w:ind w:left="432" w:hanging="432"/>
      </w:pPr>
      <w:rPr>
        <w:rFonts w:hint="default"/>
        <w:b/>
        <w:i w:val="0"/>
      </w:rPr>
    </w:lvl>
    <w:lvl w:ilvl="1">
      <w:start w:val="1"/>
      <w:numFmt w:val="decimal"/>
      <w:lvlText w:val="%2."/>
      <w:lvlJc w:val="left"/>
      <w:pPr>
        <w:ind w:left="576" w:hanging="576"/>
      </w:pPr>
      <w:rPr>
        <w:rFonts w:hint="default"/>
        <w:b/>
        <w:i w:val="0"/>
      </w:rPr>
    </w:lvl>
    <w:lvl w:ilvl="2">
      <w:start w:val="1"/>
      <w:numFmt w:val="decimal"/>
      <w:lvlText w:val="%2.%3"/>
      <w:lvlJc w:val="left"/>
      <w:pPr>
        <w:ind w:left="720" w:hanging="720"/>
      </w:pPr>
      <w:rPr>
        <w:rFonts w:hint="default"/>
      </w:rPr>
    </w:lvl>
    <w:lvl w:ilvl="3">
      <w:start w:val="1"/>
      <w:numFmt w:val="decimal"/>
      <w:lvlText w:val="%2.%3.%4"/>
      <w:lvlJc w:val="left"/>
      <w:pPr>
        <w:ind w:left="864" w:hanging="864"/>
      </w:pPr>
      <w:rPr>
        <w:rFonts w:hint="default"/>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6F846A4C"/>
    <w:multiLevelType w:val="hybridMultilevel"/>
    <w:tmpl w:val="7C3CA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
  </w:num>
  <w:num w:numId="4">
    <w:abstractNumId w:val="0"/>
  </w:num>
  <w:num w:numId="5">
    <w:abstractNumId w:val="9"/>
  </w:num>
  <w:num w:numId="6">
    <w:abstractNumId w:val="6"/>
  </w:num>
  <w:num w:numId="7">
    <w:abstractNumId w:val="4"/>
  </w:num>
  <w:num w:numId="8">
    <w:abstractNumId w:val="15"/>
  </w:num>
  <w:num w:numId="9">
    <w:abstractNumId w:val="12"/>
  </w:num>
  <w:num w:numId="10">
    <w:abstractNumId w:val="14"/>
  </w:num>
  <w:num w:numId="11">
    <w:abstractNumId w:val="17"/>
  </w:num>
  <w:num w:numId="12">
    <w:abstractNumId w:val="7"/>
  </w:num>
  <w:num w:numId="13">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4">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5">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6">
    <w:abstractNumId w:val="13"/>
  </w:num>
  <w:num w:numId="17">
    <w:abstractNumId w:val="16"/>
  </w:num>
  <w:num w:numId="18">
    <w:abstractNumId w:val="2"/>
  </w:num>
  <w:num w:numId="19">
    <w:abstractNumId w:val="11"/>
  </w:num>
  <w:num w:numId="20">
    <w:abstractNumId w:val="3"/>
  </w:num>
  <w:num w:numId="21">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2">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3">
    <w:abstractNumId w:val="18"/>
  </w:num>
  <w:num w:numId="24">
    <w:abstractNumId w:val="5"/>
  </w:num>
  <w:num w:numId="25">
    <w:abstractNumId w:val="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13"/>
  </w:num>
  <w:num w:numId="41">
    <w:abstractNumId w:val="13"/>
  </w:num>
  <w:num w:numId="42">
    <w:abstractNumId w:val="13"/>
  </w:num>
  <w:num w:numId="43">
    <w:abstractNumId w:val="13"/>
  </w:num>
  <w:num w:numId="44">
    <w:abstractNumId w:val="13"/>
  </w:num>
  <w:num w:numId="45">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90"/>
  <w:attachedTemplate r:id="rId1"/>
  <w:stylePaneSortMethod w:val="0000"/>
  <w:documentProtection w:edit="readOnly" w:enforcement="1" w:cryptProviderType="rsaFull" w:cryptAlgorithmClass="hash" w:cryptAlgorithmType="typeAny" w:cryptAlgorithmSid="4" w:cryptSpinCount="100000" w:hash="p3iSTzrkzlLZD/ICl1ypc9W7sjI=" w:salt="k1nKe76qYwog1z2HZAUL0w=="/>
  <w:defaultTabStop w:val="720"/>
  <w:defaultTableStyle w:val="Style1"/>
  <w:drawingGridHorizontalSpacing w:val="100"/>
  <w:displayHorizontalDrawingGridEvery w:val="2"/>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9D8"/>
    <w:rsid w:val="0000043F"/>
    <w:rsid w:val="00000D42"/>
    <w:rsid w:val="000012D4"/>
    <w:rsid w:val="000047A7"/>
    <w:rsid w:val="00004BCD"/>
    <w:rsid w:val="00005134"/>
    <w:rsid w:val="000052F0"/>
    <w:rsid w:val="0000572B"/>
    <w:rsid w:val="00006E1D"/>
    <w:rsid w:val="00007241"/>
    <w:rsid w:val="00007B8F"/>
    <w:rsid w:val="0001151D"/>
    <w:rsid w:val="00012365"/>
    <w:rsid w:val="00012B96"/>
    <w:rsid w:val="0001337A"/>
    <w:rsid w:val="00013722"/>
    <w:rsid w:val="000138F1"/>
    <w:rsid w:val="00014E0D"/>
    <w:rsid w:val="00015DF9"/>
    <w:rsid w:val="00016168"/>
    <w:rsid w:val="0001786C"/>
    <w:rsid w:val="00017B0C"/>
    <w:rsid w:val="000204C7"/>
    <w:rsid w:val="00021795"/>
    <w:rsid w:val="00022952"/>
    <w:rsid w:val="00023344"/>
    <w:rsid w:val="00023AC6"/>
    <w:rsid w:val="0002430F"/>
    <w:rsid w:val="000248C0"/>
    <w:rsid w:val="0002581B"/>
    <w:rsid w:val="000267BB"/>
    <w:rsid w:val="00026D05"/>
    <w:rsid w:val="0002742F"/>
    <w:rsid w:val="0002746F"/>
    <w:rsid w:val="00027495"/>
    <w:rsid w:val="00027710"/>
    <w:rsid w:val="000278BA"/>
    <w:rsid w:val="00027D4C"/>
    <w:rsid w:val="00031208"/>
    <w:rsid w:val="00031B36"/>
    <w:rsid w:val="00031DDA"/>
    <w:rsid w:val="00031E50"/>
    <w:rsid w:val="00033435"/>
    <w:rsid w:val="00034174"/>
    <w:rsid w:val="00034D42"/>
    <w:rsid w:val="00035F73"/>
    <w:rsid w:val="00036C86"/>
    <w:rsid w:val="00037733"/>
    <w:rsid w:val="00037B5E"/>
    <w:rsid w:val="00041610"/>
    <w:rsid w:val="000422D3"/>
    <w:rsid w:val="0004265B"/>
    <w:rsid w:val="00044031"/>
    <w:rsid w:val="00044A18"/>
    <w:rsid w:val="00044FE2"/>
    <w:rsid w:val="00045C09"/>
    <w:rsid w:val="00045F48"/>
    <w:rsid w:val="0004734E"/>
    <w:rsid w:val="00047413"/>
    <w:rsid w:val="00047FB9"/>
    <w:rsid w:val="0005010A"/>
    <w:rsid w:val="00050279"/>
    <w:rsid w:val="00050FC1"/>
    <w:rsid w:val="00051186"/>
    <w:rsid w:val="00052D0D"/>
    <w:rsid w:val="00053C03"/>
    <w:rsid w:val="000541A3"/>
    <w:rsid w:val="00054A33"/>
    <w:rsid w:val="000568C9"/>
    <w:rsid w:val="0005749E"/>
    <w:rsid w:val="00060B76"/>
    <w:rsid w:val="00061304"/>
    <w:rsid w:val="00062C5A"/>
    <w:rsid w:val="00064291"/>
    <w:rsid w:val="00064421"/>
    <w:rsid w:val="00064E90"/>
    <w:rsid w:val="00065B47"/>
    <w:rsid w:val="000664A7"/>
    <w:rsid w:val="0006666B"/>
    <w:rsid w:val="00066D1E"/>
    <w:rsid w:val="00066F0E"/>
    <w:rsid w:val="0006798D"/>
    <w:rsid w:val="0007054B"/>
    <w:rsid w:val="00070727"/>
    <w:rsid w:val="0007115F"/>
    <w:rsid w:val="00071CFC"/>
    <w:rsid w:val="00073A51"/>
    <w:rsid w:val="00073E6A"/>
    <w:rsid w:val="000741F2"/>
    <w:rsid w:val="00074928"/>
    <w:rsid w:val="0007495F"/>
    <w:rsid w:val="00075E2F"/>
    <w:rsid w:val="00076625"/>
    <w:rsid w:val="00076B23"/>
    <w:rsid w:val="000801A9"/>
    <w:rsid w:val="000801B0"/>
    <w:rsid w:val="00080BDC"/>
    <w:rsid w:val="00080F35"/>
    <w:rsid w:val="00081C41"/>
    <w:rsid w:val="00082187"/>
    <w:rsid w:val="00082E3B"/>
    <w:rsid w:val="00083FDB"/>
    <w:rsid w:val="00084301"/>
    <w:rsid w:val="000849F2"/>
    <w:rsid w:val="00086289"/>
    <w:rsid w:val="00086756"/>
    <w:rsid w:val="000867A6"/>
    <w:rsid w:val="0008686F"/>
    <w:rsid w:val="00086E9A"/>
    <w:rsid w:val="000874AA"/>
    <w:rsid w:val="00087F9E"/>
    <w:rsid w:val="00090E65"/>
    <w:rsid w:val="00094786"/>
    <w:rsid w:val="00095866"/>
    <w:rsid w:val="00097044"/>
    <w:rsid w:val="00097D38"/>
    <w:rsid w:val="00097F55"/>
    <w:rsid w:val="000A0D39"/>
    <w:rsid w:val="000A10A8"/>
    <w:rsid w:val="000A193E"/>
    <w:rsid w:val="000A1B75"/>
    <w:rsid w:val="000A1CB0"/>
    <w:rsid w:val="000A1FA9"/>
    <w:rsid w:val="000A21AD"/>
    <w:rsid w:val="000A232A"/>
    <w:rsid w:val="000A25E1"/>
    <w:rsid w:val="000A40E3"/>
    <w:rsid w:val="000A45C3"/>
    <w:rsid w:val="000A51D7"/>
    <w:rsid w:val="000A5B78"/>
    <w:rsid w:val="000A5D37"/>
    <w:rsid w:val="000A5F79"/>
    <w:rsid w:val="000A6617"/>
    <w:rsid w:val="000A67B7"/>
    <w:rsid w:val="000A6E70"/>
    <w:rsid w:val="000A6F59"/>
    <w:rsid w:val="000B115A"/>
    <w:rsid w:val="000B17BD"/>
    <w:rsid w:val="000B3090"/>
    <w:rsid w:val="000B514D"/>
    <w:rsid w:val="000B56CF"/>
    <w:rsid w:val="000B5921"/>
    <w:rsid w:val="000B6E41"/>
    <w:rsid w:val="000B755C"/>
    <w:rsid w:val="000B7C3D"/>
    <w:rsid w:val="000C0A94"/>
    <w:rsid w:val="000C15A8"/>
    <w:rsid w:val="000C1DC1"/>
    <w:rsid w:val="000C3B19"/>
    <w:rsid w:val="000C47F8"/>
    <w:rsid w:val="000C5998"/>
    <w:rsid w:val="000C6379"/>
    <w:rsid w:val="000C718C"/>
    <w:rsid w:val="000C72FA"/>
    <w:rsid w:val="000C75F6"/>
    <w:rsid w:val="000D1EA2"/>
    <w:rsid w:val="000D27FB"/>
    <w:rsid w:val="000D2B85"/>
    <w:rsid w:val="000D3DFC"/>
    <w:rsid w:val="000D4478"/>
    <w:rsid w:val="000D44F2"/>
    <w:rsid w:val="000D4C3B"/>
    <w:rsid w:val="000D5354"/>
    <w:rsid w:val="000D6B33"/>
    <w:rsid w:val="000D77A8"/>
    <w:rsid w:val="000E15B0"/>
    <w:rsid w:val="000E1ED2"/>
    <w:rsid w:val="000E1EDE"/>
    <w:rsid w:val="000E1EF6"/>
    <w:rsid w:val="000E55A0"/>
    <w:rsid w:val="000E6A03"/>
    <w:rsid w:val="000E6E3A"/>
    <w:rsid w:val="000E7F4C"/>
    <w:rsid w:val="000F0506"/>
    <w:rsid w:val="000F0A21"/>
    <w:rsid w:val="000F0D32"/>
    <w:rsid w:val="000F1FDD"/>
    <w:rsid w:val="000F46AA"/>
    <w:rsid w:val="000F4AF7"/>
    <w:rsid w:val="000F4D25"/>
    <w:rsid w:val="000F5CBA"/>
    <w:rsid w:val="000F6E53"/>
    <w:rsid w:val="000F75B2"/>
    <w:rsid w:val="000F7DD7"/>
    <w:rsid w:val="0010002D"/>
    <w:rsid w:val="001009FB"/>
    <w:rsid w:val="00100A7E"/>
    <w:rsid w:val="00101FF6"/>
    <w:rsid w:val="00103B31"/>
    <w:rsid w:val="00103C4A"/>
    <w:rsid w:val="00103E42"/>
    <w:rsid w:val="00103ED1"/>
    <w:rsid w:val="00103EF2"/>
    <w:rsid w:val="00105F07"/>
    <w:rsid w:val="00106583"/>
    <w:rsid w:val="00106AE5"/>
    <w:rsid w:val="00106B05"/>
    <w:rsid w:val="00110F5B"/>
    <w:rsid w:val="0011156F"/>
    <w:rsid w:val="00111642"/>
    <w:rsid w:val="00111CAA"/>
    <w:rsid w:val="00111FBB"/>
    <w:rsid w:val="0011239C"/>
    <w:rsid w:val="00112881"/>
    <w:rsid w:val="00112923"/>
    <w:rsid w:val="00112941"/>
    <w:rsid w:val="00112A28"/>
    <w:rsid w:val="00112DFE"/>
    <w:rsid w:val="001136CB"/>
    <w:rsid w:val="00113D8D"/>
    <w:rsid w:val="0011486C"/>
    <w:rsid w:val="001152BA"/>
    <w:rsid w:val="00115D3D"/>
    <w:rsid w:val="00115F9C"/>
    <w:rsid w:val="00120027"/>
    <w:rsid w:val="001227C1"/>
    <w:rsid w:val="001234A2"/>
    <w:rsid w:val="00124925"/>
    <w:rsid w:val="00124B8B"/>
    <w:rsid w:val="00125423"/>
    <w:rsid w:val="00126F7E"/>
    <w:rsid w:val="001308D8"/>
    <w:rsid w:val="00130A82"/>
    <w:rsid w:val="00130AB7"/>
    <w:rsid w:val="00131352"/>
    <w:rsid w:val="00131C87"/>
    <w:rsid w:val="00132730"/>
    <w:rsid w:val="001329C1"/>
    <w:rsid w:val="0013349C"/>
    <w:rsid w:val="001343D2"/>
    <w:rsid w:val="00134758"/>
    <w:rsid w:val="0013561B"/>
    <w:rsid w:val="00135ABF"/>
    <w:rsid w:val="00135DD2"/>
    <w:rsid w:val="00137B20"/>
    <w:rsid w:val="00141E22"/>
    <w:rsid w:val="00142103"/>
    <w:rsid w:val="00143884"/>
    <w:rsid w:val="00144AD6"/>
    <w:rsid w:val="001464FE"/>
    <w:rsid w:val="001474D4"/>
    <w:rsid w:val="001479D7"/>
    <w:rsid w:val="00152EBA"/>
    <w:rsid w:val="00152F69"/>
    <w:rsid w:val="001536FD"/>
    <w:rsid w:val="00154DE3"/>
    <w:rsid w:val="001607C1"/>
    <w:rsid w:val="00161E64"/>
    <w:rsid w:val="00161E81"/>
    <w:rsid w:val="00162911"/>
    <w:rsid w:val="00163895"/>
    <w:rsid w:val="001643D4"/>
    <w:rsid w:val="00164BAB"/>
    <w:rsid w:val="00164BD9"/>
    <w:rsid w:val="0016571B"/>
    <w:rsid w:val="00165F3B"/>
    <w:rsid w:val="00166B5A"/>
    <w:rsid w:val="00166D0A"/>
    <w:rsid w:val="00167605"/>
    <w:rsid w:val="001703D3"/>
    <w:rsid w:val="00170910"/>
    <w:rsid w:val="00170C1F"/>
    <w:rsid w:val="00171E27"/>
    <w:rsid w:val="001730A3"/>
    <w:rsid w:val="00173E18"/>
    <w:rsid w:val="001748A9"/>
    <w:rsid w:val="001749FA"/>
    <w:rsid w:val="001751D6"/>
    <w:rsid w:val="0017520D"/>
    <w:rsid w:val="00175E59"/>
    <w:rsid w:val="00176093"/>
    <w:rsid w:val="00176265"/>
    <w:rsid w:val="00177E0A"/>
    <w:rsid w:val="0018058E"/>
    <w:rsid w:val="001824C5"/>
    <w:rsid w:val="00182822"/>
    <w:rsid w:val="00182FC8"/>
    <w:rsid w:val="001835E8"/>
    <w:rsid w:val="00183B1F"/>
    <w:rsid w:val="00184159"/>
    <w:rsid w:val="0018433D"/>
    <w:rsid w:val="0018481C"/>
    <w:rsid w:val="0018487E"/>
    <w:rsid w:val="00184B3C"/>
    <w:rsid w:val="001850B8"/>
    <w:rsid w:val="00186BAE"/>
    <w:rsid w:val="00190F9F"/>
    <w:rsid w:val="0019371E"/>
    <w:rsid w:val="001946C8"/>
    <w:rsid w:val="00194884"/>
    <w:rsid w:val="00194F67"/>
    <w:rsid w:val="001952D9"/>
    <w:rsid w:val="00195889"/>
    <w:rsid w:val="001979D4"/>
    <w:rsid w:val="001A0EDD"/>
    <w:rsid w:val="001A1707"/>
    <w:rsid w:val="001A1B70"/>
    <w:rsid w:val="001A20C3"/>
    <w:rsid w:val="001A26D7"/>
    <w:rsid w:val="001A2D37"/>
    <w:rsid w:val="001A31A2"/>
    <w:rsid w:val="001A482F"/>
    <w:rsid w:val="001A4844"/>
    <w:rsid w:val="001A54F7"/>
    <w:rsid w:val="001A5E60"/>
    <w:rsid w:val="001A5F19"/>
    <w:rsid w:val="001A62AA"/>
    <w:rsid w:val="001A644D"/>
    <w:rsid w:val="001A6BCF"/>
    <w:rsid w:val="001A76B1"/>
    <w:rsid w:val="001A775E"/>
    <w:rsid w:val="001B068F"/>
    <w:rsid w:val="001B1335"/>
    <w:rsid w:val="001B139C"/>
    <w:rsid w:val="001B13F5"/>
    <w:rsid w:val="001B2677"/>
    <w:rsid w:val="001B2801"/>
    <w:rsid w:val="001B2BD6"/>
    <w:rsid w:val="001B2D37"/>
    <w:rsid w:val="001B330F"/>
    <w:rsid w:val="001B4602"/>
    <w:rsid w:val="001B4EBB"/>
    <w:rsid w:val="001C0970"/>
    <w:rsid w:val="001C2365"/>
    <w:rsid w:val="001C2895"/>
    <w:rsid w:val="001C2BD9"/>
    <w:rsid w:val="001C4033"/>
    <w:rsid w:val="001C46CB"/>
    <w:rsid w:val="001C490E"/>
    <w:rsid w:val="001C4BCC"/>
    <w:rsid w:val="001C6984"/>
    <w:rsid w:val="001C6D76"/>
    <w:rsid w:val="001D0A8C"/>
    <w:rsid w:val="001D1810"/>
    <w:rsid w:val="001D18E5"/>
    <w:rsid w:val="001D394A"/>
    <w:rsid w:val="001D3A16"/>
    <w:rsid w:val="001D4387"/>
    <w:rsid w:val="001D4CD9"/>
    <w:rsid w:val="001D5999"/>
    <w:rsid w:val="001D5A85"/>
    <w:rsid w:val="001D6C9D"/>
    <w:rsid w:val="001D70EC"/>
    <w:rsid w:val="001D72EA"/>
    <w:rsid w:val="001D7F4C"/>
    <w:rsid w:val="001E0BD5"/>
    <w:rsid w:val="001E1C5B"/>
    <w:rsid w:val="001E25D5"/>
    <w:rsid w:val="001E3904"/>
    <w:rsid w:val="001E43F0"/>
    <w:rsid w:val="001E46C2"/>
    <w:rsid w:val="001E506C"/>
    <w:rsid w:val="001E5D73"/>
    <w:rsid w:val="001E7E49"/>
    <w:rsid w:val="001F02D6"/>
    <w:rsid w:val="001F0D54"/>
    <w:rsid w:val="001F0F1B"/>
    <w:rsid w:val="001F1138"/>
    <w:rsid w:val="001F1AFD"/>
    <w:rsid w:val="001F1E2F"/>
    <w:rsid w:val="001F3FA8"/>
    <w:rsid w:val="001F446B"/>
    <w:rsid w:val="001F4C5A"/>
    <w:rsid w:val="001F5049"/>
    <w:rsid w:val="001F5C19"/>
    <w:rsid w:val="001F681B"/>
    <w:rsid w:val="001F6E18"/>
    <w:rsid w:val="001F6E79"/>
    <w:rsid w:val="001F72AC"/>
    <w:rsid w:val="001F7580"/>
    <w:rsid w:val="00202219"/>
    <w:rsid w:val="00203C8D"/>
    <w:rsid w:val="00204661"/>
    <w:rsid w:val="00205ADA"/>
    <w:rsid w:val="00205BC7"/>
    <w:rsid w:val="002067C4"/>
    <w:rsid w:val="002068EC"/>
    <w:rsid w:val="002070E9"/>
    <w:rsid w:val="00207753"/>
    <w:rsid w:val="00207A43"/>
    <w:rsid w:val="00210159"/>
    <w:rsid w:val="002107B1"/>
    <w:rsid w:val="0021154F"/>
    <w:rsid w:val="00211BAE"/>
    <w:rsid w:val="00212198"/>
    <w:rsid w:val="00212A7E"/>
    <w:rsid w:val="002137EB"/>
    <w:rsid w:val="002148CE"/>
    <w:rsid w:val="002158CC"/>
    <w:rsid w:val="00215B49"/>
    <w:rsid w:val="00215D3E"/>
    <w:rsid w:val="00215FBC"/>
    <w:rsid w:val="00217349"/>
    <w:rsid w:val="00220A55"/>
    <w:rsid w:val="00220E5A"/>
    <w:rsid w:val="002225BE"/>
    <w:rsid w:val="00222A45"/>
    <w:rsid w:val="0022414C"/>
    <w:rsid w:val="0022520B"/>
    <w:rsid w:val="00225B12"/>
    <w:rsid w:val="00226171"/>
    <w:rsid w:val="00226F46"/>
    <w:rsid w:val="0022758A"/>
    <w:rsid w:val="00227636"/>
    <w:rsid w:val="00227A7F"/>
    <w:rsid w:val="00227BF0"/>
    <w:rsid w:val="002300B9"/>
    <w:rsid w:val="00230113"/>
    <w:rsid w:val="00231344"/>
    <w:rsid w:val="002314E8"/>
    <w:rsid w:val="00232E66"/>
    <w:rsid w:val="00232EB1"/>
    <w:rsid w:val="00233319"/>
    <w:rsid w:val="00233CD8"/>
    <w:rsid w:val="002342EE"/>
    <w:rsid w:val="00234544"/>
    <w:rsid w:val="002346E4"/>
    <w:rsid w:val="00234B19"/>
    <w:rsid w:val="00235559"/>
    <w:rsid w:val="00235CAC"/>
    <w:rsid w:val="00240059"/>
    <w:rsid w:val="00242506"/>
    <w:rsid w:val="0024413F"/>
    <w:rsid w:val="002445D7"/>
    <w:rsid w:val="00244C95"/>
    <w:rsid w:val="00244E63"/>
    <w:rsid w:val="00245728"/>
    <w:rsid w:val="00245924"/>
    <w:rsid w:val="00245B05"/>
    <w:rsid w:val="00250797"/>
    <w:rsid w:val="00251945"/>
    <w:rsid w:val="002527E7"/>
    <w:rsid w:val="00253065"/>
    <w:rsid w:val="00260776"/>
    <w:rsid w:val="00260D03"/>
    <w:rsid w:val="00260F3C"/>
    <w:rsid w:val="00261787"/>
    <w:rsid w:val="00261EE9"/>
    <w:rsid w:val="00262FAC"/>
    <w:rsid w:val="002634A4"/>
    <w:rsid w:val="002649F4"/>
    <w:rsid w:val="00266613"/>
    <w:rsid w:val="00267237"/>
    <w:rsid w:val="00267949"/>
    <w:rsid w:val="0027055D"/>
    <w:rsid w:val="00270B07"/>
    <w:rsid w:val="0027122F"/>
    <w:rsid w:val="00271E9C"/>
    <w:rsid w:val="002721DE"/>
    <w:rsid w:val="00272FDB"/>
    <w:rsid w:val="0027391C"/>
    <w:rsid w:val="00277536"/>
    <w:rsid w:val="00277593"/>
    <w:rsid w:val="00277ECD"/>
    <w:rsid w:val="00280610"/>
    <w:rsid w:val="002808E5"/>
    <w:rsid w:val="00280B71"/>
    <w:rsid w:val="0028129B"/>
    <w:rsid w:val="00282BFA"/>
    <w:rsid w:val="0028371A"/>
    <w:rsid w:val="002844E4"/>
    <w:rsid w:val="00284846"/>
    <w:rsid w:val="00284869"/>
    <w:rsid w:val="00285C4B"/>
    <w:rsid w:val="00285F84"/>
    <w:rsid w:val="0028691B"/>
    <w:rsid w:val="00287A98"/>
    <w:rsid w:val="002901EE"/>
    <w:rsid w:val="0029083F"/>
    <w:rsid w:val="00291EC5"/>
    <w:rsid w:val="00292113"/>
    <w:rsid w:val="00292B56"/>
    <w:rsid w:val="0029315F"/>
    <w:rsid w:val="00294195"/>
    <w:rsid w:val="00294705"/>
    <w:rsid w:val="00294D9D"/>
    <w:rsid w:val="00294FC0"/>
    <w:rsid w:val="00295FF4"/>
    <w:rsid w:val="0029624D"/>
    <w:rsid w:val="00297881"/>
    <w:rsid w:val="002A12CE"/>
    <w:rsid w:val="002A15FC"/>
    <w:rsid w:val="002A3335"/>
    <w:rsid w:val="002A39F1"/>
    <w:rsid w:val="002A5E16"/>
    <w:rsid w:val="002A61AD"/>
    <w:rsid w:val="002A642B"/>
    <w:rsid w:val="002A645C"/>
    <w:rsid w:val="002A6C9E"/>
    <w:rsid w:val="002A6CF1"/>
    <w:rsid w:val="002A7B11"/>
    <w:rsid w:val="002A7C21"/>
    <w:rsid w:val="002B24F5"/>
    <w:rsid w:val="002B2828"/>
    <w:rsid w:val="002B595A"/>
    <w:rsid w:val="002B6065"/>
    <w:rsid w:val="002C0264"/>
    <w:rsid w:val="002C192A"/>
    <w:rsid w:val="002C2419"/>
    <w:rsid w:val="002C243E"/>
    <w:rsid w:val="002C380F"/>
    <w:rsid w:val="002C5D46"/>
    <w:rsid w:val="002C68DB"/>
    <w:rsid w:val="002D0197"/>
    <w:rsid w:val="002D0435"/>
    <w:rsid w:val="002D0F0A"/>
    <w:rsid w:val="002D10F9"/>
    <w:rsid w:val="002D27EF"/>
    <w:rsid w:val="002D319C"/>
    <w:rsid w:val="002D32B2"/>
    <w:rsid w:val="002D3559"/>
    <w:rsid w:val="002D36BF"/>
    <w:rsid w:val="002D37C1"/>
    <w:rsid w:val="002D5345"/>
    <w:rsid w:val="002D5738"/>
    <w:rsid w:val="002D6014"/>
    <w:rsid w:val="002D6445"/>
    <w:rsid w:val="002D776D"/>
    <w:rsid w:val="002D7C6A"/>
    <w:rsid w:val="002D7E2D"/>
    <w:rsid w:val="002E0275"/>
    <w:rsid w:val="002E0A0F"/>
    <w:rsid w:val="002E39A1"/>
    <w:rsid w:val="002E3CA2"/>
    <w:rsid w:val="002E3F51"/>
    <w:rsid w:val="002E4D97"/>
    <w:rsid w:val="002E542B"/>
    <w:rsid w:val="002E6237"/>
    <w:rsid w:val="002F0849"/>
    <w:rsid w:val="002F0AF9"/>
    <w:rsid w:val="002F28BB"/>
    <w:rsid w:val="002F30FE"/>
    <w:rsid w:val="002F38F2"/>
    <w:rsid w:val="002F5C81"/>
    <w:rsid w:val="002F61A6"/>
    <w:rsid w:val="002F791D"/>
    <w:rsid w:val="00304FD4"/>
    <w:rsid w:val="003053C4"/>
    <w:rsid w:val="00307320"/>
    <w:rsid w:val="00307619"/>
    <w:rsid w:val="003077CE"/>
    <w:rsid w:val="003078C9"/>
    <w:rsid w:val="00307A67"/>
    <w:rsid w:val="00307AEA"/>
    <w:rsid w:val="00310168"/>
    <w:rsid w:val="003102DB"/>
    <w:rsid w:val="00310A0C"/>
    <w:rsid w:val="003124A2"/>
    <w:rsid w:val="003127AA"/>
    <w:rsid w:val="00313E25"/>
    <w:rsid w:val="00314A1E"/>
    <w:rsid w:val="00314E4B"/>
    <w:rsid w:val="00315331"/>
    <w:rsid w:val="00315660"/>
    <w:rsid w:val="00315F9B"/>
    <w:rsid w:val="0031604B"/>
    <w:rsid w:val="003177BC"/>
    <w:rsid w:val="0032002C"/>
    <w:rsid w:val="00320973"/>
    <w:rsid w:val="003227EC"/>
    <w:rsid w:val="00324010"/>
    <w:rsid w:val="003269B6"/>
    <w:rsid w:val="003272FA"/>
    <w:rsid w:val="003304A3"/>
    <w:rsid w:val="0033179A"/>
    <w:rsid w:val="00331936"/>
    <w:rsid w:val="00333E88"/>
    <w:rsid w:val="00334262"/>
    <w:rsid w:val="00334F1C"/>
    <w:rsid w:val="00335AD0"/>
    <w:rsid w:val="00336EE1"/>
    <w:rsid w:val="003375EA"/>
    <w:rsid w:val="00340192"/>
    <w:rsid w:val="00340E22"/>
    <w:rsid w:val="00341DA9"/>
    <w:rsid w:val="00342A64"/>
    <w:rsid w:val="0034596F"/>
    <w:rsid w:val="00347B24"/>
    <w:rsid w:val="0035073D"/>
    <w:rsid w:val="00353876"/>
    <w:rsid w:val="00353B34"/>
    <w:rsid w:val="00353EDC"/>
    <w:rsid w:val="00354950"/>
    <w:rsid w:val="00354C7A"/>
    <w:rsid w:val="003572A4"/>
    <w:rsid w:val="00360871"/>
    <w:rsid w:val="003609E6"/>
    <w:rsid w:val="003612AD"/>
    <w:rsid w:val="00362790"/>
    <w:rsid w:val="00363765"/>
    <w:rsid w:val="003649EA"/>
    <w:rsid w:val="00364BD1"/>
    <w:rsid w:val="00364DA2"/>
    <w:rsid w:val="00366334"/>
    <w:rsid w:val="00366C05"/>
    <w:rsid w:val="00366D2B"/>
    <w:rsid w:val="0036726F"/>
    <w:rsid w:val="003674AC"/>
    <w:rsid w:val="00367EBF"/>
    <w:rsid w:val="00370355"/>
    <w:rsid w:val="00370FF6"/>
    <w:rsid w:val="00371197"/>
    <w:rsid w:val="00371550"/>
    <w:rsid w:val="00371706"/>
    <w:rsid w:val="00371A88"/>
    <w:rsid w:val="00372913"/>
    <w:rsid w:val="00372E0C"/>
    <w:rsid w:val="00373C95"/>
    <w:rsid w:val="00374A3B"/>
    <w:rsid w:val="00374BFC"/>
    <w:rsid w:val="00377641"/>
    <w:rsid w:val="0038180B"/>
    <w:rsid w:val="00381A5D"/>
    <w:rsid w:val="00382508"/>
    <w:rsid w:val="00382856"/>
    <w:rsid w:val="00383D43"/>
    <w:rsid w:val="00383E34"/>
    <w:rsid w:val="00384694"/>
    <w:rsid w:val="00384DD2"/>
    <w:rsid w:val="00385037"/>
    <w:rsid w:val="0038526E"/>
    <w:rsid w:val="003854EA"/>
    <w:rsid w:val="003859A7"/>
    <w:rsid w:val="003873D1"/>
    <w:rsid w:val="0039170C"/>
    <w:rsid w:val="003918B0"/>
    <w:rsid w:val="0039196D"/>
    <w:rsid w:val="00391E56"/>
    <w:rsid w:val="0039217D"/>
    <w:rsid w:val="003925FA"/>
    <w:rsid w:val="00392878"/>
    <w:rsid w:val="003939EF"/>
    <w:rsid w:val="0039491E"/>
    <w:rsid w:val="00394CF1"/>
    <w:rsid w:val="003966CA"/>
    <w:rsid w:val="0039673C"/>
    <w:rsid w:val="00396DC5"/>
    <w:rsid w:val="0039727A"/>
    <w:rsid w:val="00397617"/>
    <w:rsid w:val="003A009F"/>
    <w:rsid w:val="003A18CA"/>
    <w:rsid w:val="003A1A9A"/>
    <w:rsid w:val="003A2ACB"/>
    <w:rsid w:val="003A4D24"/>
    <w:rsid w:val="003A53AE"/>
    <w:rsid w:val="003A68C8"/>
    <w:rsid w:val="003A69F1"/>
    <w:rsid w:val="003A6E2A"/>
    <w:rsid w:val="003A7C97"/>
    <w:rsid w:val="003A7EB9"/>
    <w:rsid w:val="003B0274"/>
    <w:rsid w:val="003B0501"/>
    <w:rsid w:val="003B05EF"/>
    <w:rsid w:val="003B0895"/>
    <w:rsid w:val="003B17FC"/>
    <w:rsid w:val="003B2AEA"/>
    <w:rsid w:val="003B2FEC"/>
    <w:rsid w:val="003B38E7"/>
    <w:rsid w:val="003B3F31"/>
    <w:rsid w:val="003B67C9"/>
    <w:rsid w:val="003B7B98"/>
    <w:rsid w:val="003C02E5"/>
    <w:rsid w:val="003C3DDF"/>
    <w:rsid w:val="003C4785"/>
    <w:rsid w:val="003C4FD5"/>
    <w:rsid w:val="003C512B"/>
    <w:rsid w:val="003C528D"/>
    <w:rsid w:val="003C55F7"/>
    <w:rsid w:val="003D0045"/>
    <w:rsid w:val="003D19EF"/>
    <w:rsid w:val="003D1EDF"/>
    <w:rsid w:val="003D1EED"/>
    <w:rsid w:val="003D1F1F"/>
    <w:rsid w:val="003D2A19"/>
    <w:rsid w:val="003D343D"/>
    <w:rsid w:val="003D4F3D"/>
    <w:rsid w:val="003D5254"/>
    <w:rsid w:val="003D5695"/>
    <w:rsid w:val="003D5D4C"/>
    <w:rsid w:val="003D718C"/>
    <w:rsid w:val="003D7382"/>
    <w:rsid w:val="003D791E"/>
    <w:rsid w:val="003D7C4C"/>
    <w:rsid w:val="003E0641"/>
    <w:rsid w:val="003E1188"/>
    <w:rsid w:val="003E1DE9"/>
    <w:rsid w:val="003E2528"/>
    <w:rsid w:val="003E26FA"/>
    <w:rsid w:val="003E3970"/>
    <w:rsid w:val="003E4E52"/>
    <w:rsid w:val="003E4F33"/>
    <w:rsid w:val="003E5644"/>
    <w:rsid w:val="003E56A3"/>
    <w:rsid w:val="003E5B5B"/>
    <w:rsid w:val="003E69B9"/>
    <w:rsid w:val="003E7508"/>
    <w:rsid w:val="003F0535"/>
    <w:rsid w:val="003F0600"/>
    <w:rsid w:val="003F0954"/>
    <w:rsid w:val="003F0FED"/>
    <w:rsid w:val="003F1475"/>
    <w:rsid w:val="003F2BDD"/>
    <w:rsid w:val="003F2CA4"/>
    <w:rsid w:val="003F2DA3"/>
    <w:rsid w:val="003F320B"/>
    <w:rsid w:val="003F3CEE"/>
    <w:rsid w:val="003F4159"/>
    <w:rsid w:val="003F41DD"/>
    <w:rsid w:val="003F50AA"/>
    <w:rsid w:val="003F77FC"/>
    <w:rsid w:val="003F77FF"/>
    <w:rsid w:val="003F7972"/>
    <w:rsid w:val="003F7A85"/>
    <w:rsid w:val="00400944"/>
    <w:rsid w:val="004014F9"/>
    <w:rsid w:val="0040197A"/>
    <w:rsid w:val="0040349E"/>
    <w:rsid w:val="00403B2A"/>
    <w:rsid w:val="00404238"/>
    <w:rsid w:val="00406CCD"/>
    <w:rsid w:val="00407096"/>
    <w:rsid w:val="00407BAD"/>
    <w:rsid w:val="00410348"/>
    <w:rsid w:val="00411232"/>
    <w:rsid w:val="00412959"/>
    <w:rsid w:val="00412BEE"/>
    <w:rsid w:val="0041446D"/>
    <w:rsid w:val="00416A5A"/>
    <w:rsid w:val="004178EF"/>
    <w:rsid w:val="00417F20"/>
    <w:rsid w:val="00420A87"/>
    <w:rsid w:val="00421C21"/>
    <w:rsid w:val="004225E1"/>
    <w:rsid w:val="004232B6"/>
    <w:rsid w:val="00423FBF"/>
    <w:rsid w:val="00426C45"/>
    <w:rsid w:val="00427873"/>
    <w:rsid w:val="004279DD"/>
    <w:rsid w:val="004307DF"/>
    <w:rsid w:val="00431986"/>
    <w:rsid w:val="00431AF6"/>
    <w:rsid w:val="00434109"/>
    <w:rsid w:val="00434417"/>
    <w:rsid w:val="00434B48"/>
    <w:rsid w:val="00434D0D"/>
    <w:rsid w:val="00435CCD"/>
    <w:rsid w:val="00435E27"/>
    <w:rsid w:val="0043673B"/>
    <w:rsid w:val="004373EF"/>
    <w:rsid w:val="00440190"/>
    <w:rsid w:val="00440924"/>
    <w:rsid w:val="00440C1E"/>
    <w:rsid w:val="00442C05"/>
    <w:rsid w:val="00443E5F"/>
    <w:rsid w:val="0044522F"/>
    <w:rsid w:val="004453A6"/>
    <w:rsid w:val="00445BB5"/>
    <w:rsid w:val="004462A2"/>
    <w:rsid w:val="004465A5"/>
    <w:rsid w:val="0044681A"/>
    <w:rsid w:val="00447A4A"/>
    <w:rsid w:val="00447BDE"/>
    <w:rsid w:val="00447C1B"/>
    <w:rsid w:val="00450B66"/>
    <w:rsid w:val="00452B03"/>
    <w:rsid w:val="00453311"/>
    <w:rsid w:val="004535B1"/>
    <w:rsid w:val="004538EA"/>
    <w:rsid w:val="00453DC3"/>
    <w:rsid w:val="00454D2A"/>
    <w:rsid w:val="00455237"/>
    <w:rsid w:val="00455A7F"/>
    <w:rsid w:val="0045666D"/>
    <w:rsid w:val="00456D84"/>
    <w:rsid w:val="00460DCB"/>
    <w:rsid w:val="004618DA"/>
    <w:rsid w:val="004625F5"/>
    <w:rsid w:val="00463300"/>
    <w:rsid w:val="00463738"/>
    <w:rsid w:val="00464C43"/>
    <w:rsid w:val="00464D95"/>
    <w:rsid w:val="00464DB5"/>
    <w:rsid w:val="00464EB3"/>
    <w:rsid w:val="00465C60"/>
    <w:rsid w:val="00466CD6"/>
    <w:rsid w:val="00467FCB"/>
    <w:rsid w:val="0047008A"/>
    <w:rsid w:val="00470CA6"/>
    <w:rsid w:val="00471045"/>
    <w:rsid w:val="00471DFF"/>
    <w:rsid w:val="004727F4"/>
    <w:rsid w:val="00474C06"/>
    <w:rsid w:val="0047641A"/>
    <w:rsid w:val="004770E5"/>
    <w:rsid w:val="004807CB"/>
    <w:rsid w:val="00481A3F"/>
    <w:rsid w:val="00482036"/>
    <w:rsid w:val="00482BC4"/>
    <w:rsid w:val="00482F94"/>
    <w:rsid w:val="004841C2"/>
    <w:rsid w:val="004843D6"/>
    <w:rsid w:val="0048563A"/>
    <w:rsid w:val="00485C7D"/>
    <w:rsid w:val="00485DFB"/>
    <w:rsid w:val="004864E7"/>
    <w:rsid w:val="004871F2"/>
    <w:rsid w:val="004875AB"/>
    <w:rsid w:val="00487A15"/>
    <w:rsid w:val="00490435"/>
    <w:rsid w:val="0049081F"/>
    <w:rsid w:val="00490D6A"/>
    <w:rsid w:val="00490DDA"/>
    <w:rsid w:val="0049173A"/>
    <w:rsid w:val="004925C2"/>
    <w:rsid w:val="00493D5B"/>
    <w:rsid w:val="00493E3C"/>
    <w:rsid w:val="0049411A"/>
    <w:rsid w:val="00494B19"/>
    <w:rsid w:val="00495F5A"/>
    <w:rsid w:val="004963DB"/>
    <w:rsid w:val="004969FC"/>
    <w:rsid w:val="0049700F"/>
    <w:rsid w:val="00497735"/>
    <w:rsid w:val="00497BF8"/>
    <w:rsid w:val="004A083D"/>
    <w:rsid w:val="004A09D5"/>
    <w:rsid w:val="004A0B52"/>
    <w:rsid w:val="004A1437"/>
    <w:rsid w:val="004A1F25"/>
    <w:rsid w:val="004A2385"/>
    <w:rsid w:val="004A29BA"/>
    <w:rsid w:val="004A3760"/>
    <w:rsid w:val="004A580F"/>
    <w:rsid w:val="004A60D9"/>
    <w:rsid w:val="004A6567"/>
    <w:rsid w:val="004A6ECF"/>
    <w:rsid w:val="004A6F42"/>
    <w:rsid w:val="004B048D"/>
    <w:rsid w:val="004B29DE"/>
    <w:rsid w:val="004B3B79"/>
    <w:rsid w:val="004B4A40"/>
    <w:rsid w:val="004B4E64"/>
    <w:rsid w:val="004B50D1"/>
    <w:rsid w:val="004B63E2"/>
    <w:rsid w:val="004B7513"/>
    <w:rsid w:val="004B7F05"/>
    <w:rsid w:val="004C017C"/>
    <w:rsid w:val="004C084C"/>
    <w:rsid w:val="004C29EC"/>
    <w:rsid w:val="004C2A47"/>
    <w:rsid w:val="004C2BAF"/>
    <w:rsid w:val="004C312A"/>
    <w:rsid w:val="004C36DF"/>
    <w:rsid w:val="004C37A7"/>
    <w:rsid w:val="004C3C15"/>
    <w:rsid w:val="004C3CF3"/>
    <w:rsid w:val="004C4043"/>
    <w:rsid w:val="004C5466"/>
    <w:rsid w:val="004C66BF"/>
    <w:rsid w:val="004C671A"/>
    <w:rsid w:val="004C6D06"/>
    <w:rsid w:val="004C7EDC"/>
    <w:rsid w:val="004D0334"/>
    <w:rsid w:val="004D0DBE"/>
    <w:rsid w:val="004D1145"/>
    <w:rsid w:val="004D1302"/>
    <w:rsid w:val="004D1676"/>
    <w:rsid w:val="004D1E18"/>
    <w:rsid w:val="004D206D"/>
    <w:rsid w:val="004D2881"/>
    <w:rsid w:val="004D4427"/>
    <w:rsid w:val="004D4658"/>
    <w:rsid w:val="004D50A9"/>
    <w:rsid w:val="004D5AFD"/>
    <w:rsid w:val="004D6184"/>
    <w:rsid w:val="004D69B8"/>
    <w:rsid w:val="004D7364"/>
    <w:rsid w:val="004D78D8"/>
    <w:rsid w:val="004E3742"/>
    <w:rsid w:val="004E3FD0"/>
    <w:rsid w:val="004E4DF1"/>
    <w:rsid w:val="004E53D4"/>
    <w:rsid w:val="004E6E02"/>
    <w:rsid w:val="004E75F4"/>
    <w:rsid w:val="004E7E90"/>
    <w:rsid w:val="004F11BA"/>
    <w:rsid w:val="004F19D8"/>
    <w:rsid w:val="004F409D"/>
    <w:rsid w:val="004F666B"/>
    <w:rsid w:val="004F6868"/>
    <w:rsid w:val="004F7353"/>
    <w:rsid w:val="004F7778"/>
    <w:rsid w:val="00500277"/>
    <w:rsid w:val="00500EFF"/>
    <w:rsid w:val="00501D66"/>
    <w:rsid w:val="005033BF"/>
    <w:rsid w:val="00505DC6"/>
    <w:rsid w:val="005064ED"/>
    <w:rsid w:val="0050764D"/>
    <w:rsid w:val="00507C09"/>
    <w:rsid w:val="0051029F"/>
    <w:rsid w:val="00510D59"/>
    <w:rsid w:val="00511326"/>
    <w:rsid w:val="0051152A"/>
    <w:rsid w:val="0051156A"/>
    <w:rsid w:val="00511A2D"/>
    <w:rsid w:val="00511ECF"/>
    <w:rsid w:val="00512656"/>
    <w:rsid w:val="00513908"/>
    <w:rsid w:val="00513D7A"/>
    <w:rsid w:val="00514927"/>
    <w:rsid w:val="00514E1C"/>
    <w:rsid w:val="0051516F"/>
    <w:rsid w:val="005151B0"/>
    <w:rsid w:val="005159AC"/>
    <w:rsid w:val="00515D7C"/>
    <w:rsid w:val="00516616"/>
    <w:rsid w:val="00516D04"/>
    <w:rsid w:val="00517276"/>
    <w:rsid w:val="00517E15"/>
    <w:rsid w:val="00517EEA"/>
    <w:rsid w:val="0052053B"/>
    <w:rsid w:val="00520CDB"/>
    <w:rsid w:val="00521AAC"/>
    <w:rsid w:val="00522310"/>
    <w:rsid w:val="00522CFD"/>
    <w:rsid w:val="0052459E"/>
    <w:rsid w:val="005252BC"/>
    <w:rsid w:val="00525421"/>
    <w:rsid w:val="00525507"/>
    <w:rsid w:val="00526B99"/>
    <w:rsid w:val="00527056"/>
    <w:rsid w:val="00527EAF"/>
    <w:rsid w:val="00530544"/>
    <w:rsid w:val="00531134"/>
    <w:rsid w:val="005323A5"/>
    <w:rsid w:val="00532EC9"/>
    <w:rsid w:val="0053314C"/>
    <w:rsid w:val="005336CE"/>
    <w:rsid w:val="005337EA"/>
    <w:rsid w:val="005345B9"/>
    <w:rsid w:val="00536354"/>
    <w:rsid w:val="00536EF2"/>
    <w:rsid w:val="00540214"/>
    <w:rsid w:val="00540687"/>
    <w:rsid w:val="00540A73"/>
    <w:rsid w:val="00541799"/>
    <w:rsid w:val="00541B0E"/>
    <w:rsid w:val="00542217"/>
    <w:rsid w:val="00543449"/>
    <w:rsid w:val="00543474"/>
    <w:rsid w:val="00543C5E"/>
    <w:rsid w:val="00544984"/>
    <w:rsid w:val="005449B9"/>
    <w:rsid w:val="0054628A"/>
    <w:rsid w:val="005468C1"/>
    <w:rsid w:val="00546B60"/>
    <w:rsid w:val="00546B88"/>
    <w:rsid w:val="00547854"/>
    <w:rsid w:val="00547AA6"/>
    <w:rsid w:val="00547D1B"/>
    <w:rsid w:val="00550384"/>
    <w:rsid w:val="00550483"/>
    <w:rsid w:val="00550EA7"/>
    <w:rsid w:val="00551DB2"/>
    <w:rsid w:val="005523B3"/>
    <w:rsid w:val="00552B99"/>
    <w:rsid w:val="00552CD8"/>
    <w:rsid w:val="00553395"/>
    <w:rsid w:val="0055478A"/>
    <w:rsid w:val="00555148"/>
    <w:rsid w:val="00555367"/>
    <w:rsid w:val="005556C8"/>
    <w:rsid w:val="00555E53"/>
    <w:rsid w:val="00557414"/>
    <w:rsid w:val="00557DFC"/>
    <w:rsid w:val="00562D5A"/>
    <w:rsid w:val="00564179"/>
    <w:rsid w:val="00564413"/>
    <w:rsid w:val="00565DF1"/>
    <w:rsid w:val="005664D5"/>
    <w:rsid w:val="00567AEB"/>
    <w:rsid w:val="0057195A"/>
    <w:rsid w:val="00571D3C"/>
    <w:rsid w:val="005726B7"/>
    <w:rsid w:val="00572DFD"/>
    <w:rsid w:val="0057495B"/>
    <w:rsid w:val="00577390"/>
    <w:rsid w:val="00581E2D"/>
    <w:rsid w:val="00582887"/>
    <w:rsid w:val="005835C0"/>
    <w:rsid w:val="00584608"/>
    <w:rsid w:val="005850AB"/>
    <w:rsid w:val="0058526F"/>
    <w:rsid w:val="00585D65"/>
    <w:rsid w:val="00586256"/>
    <w:rsid w:val="00587E27"/>
    <w:rsid w:val="00590923"/>
    <w:rsid w:val="005936B0"/>
    <w:rsid w:val="00594387"/>
    <w:rsid w:val="0059503C"/>
    <w:rsid w:val="00595D80"/>
    <w:rsid w:val="005A00F3"/>
    <w:rsid w:val="005A016B"/>
    <w:rsid w:val="005A088B"/>
    <w:rsid w:val="005A0ADF"/>
    <w:rsid w:val="005A1858"/>
    <w:rsid w:val="005A24A6"/>
    <w:rsid w:val="005A26EB"/>
    <w:rsid w:val="005A33ED"/>
    <w:rsid w:val="005A382C"/>
    <w:rsid w:val="005A38E8"/>
    <w:rsid w:val="005A3EF6"/>
    <w:rsid w:val="005A41B2"/>
    <w:rsid w:val="005A428A"/>
    <w:rsid w:val="005A5FDC"/>
    <w:rsid w:val="005A6439"/>
    <w:rsid w:val="005A6469"/>
    <w:rsid w:val="005A66B9"/>
    <w:rsid w:val="005A68C4"/>
    <w:rsid w:val="005A7724"/>
    <w:rsid w:val="005A77B5"/>
    <w:rsid w:val="005A7DBE"/>
    <w:rsid w:val="005B0C2A"/>
    <w:rsid w:val="005B39D2"/>
    <w:rsid w:val="005B4553"/>
    <w:rsid w:val="005B57DB"/>
    <w:rsid w:val="005B66D4"/>
    <w:rsid w:val="005B69E0"/>
    <w:rsid w:val="005B74E6"/>
    <w:rsid w:val="005B776C"/>
    <w:rsid w:val="005B7E25"/>
    <w:rsid w:val="005C0D12"/>
    <w:rsid w:val="005C1130"/>
    <w:rsid w:val="005C1A44"/>
    <w:rsid w:val="005C34FD"/>
    <w:rsid w:val="005C37B1"/>
    <w:rsid w:val="005C3D8D"/>
    <w:rsid w:val="005C547F"/>
    <w:rsid w:val="005C6358"/>
    <w:rsid w:val="005C6999"/>
    <w:rsid w:val="005C6ECB"/>
    <w:rsid w:val="005C6FDA"/>
    <w:rsid w:val="005C70E6"/>
    <w:rsid w:val="005C79E7"/>
    <w:rsid w:val="005D0C10"/>
    <w:rsid w:val="005D14E6"/>
    <w:rsid w:val="005D19AC"/>
    <w:rsid w:val="005D1A93"/>
    <w:rsid w:val="005D3413"/>
    <w:rsid w:val="005D374E"/>
    <w:rsid w:val="005D38E6"/>
    <w:rsid w:val="005D57C7"/>
    <w:rsid w:val="005D57E9"/>
    <w:rsid w:val="005D5828"/>
    <w:rsid w:val="005D5A42"/>
    <w:rsid w:val="005D5ECD"/>
    <w:rsid w:val="005D7C31"/>
    <w:rsid w:val="005E089C"/>
    <w:rsid w:val="005E300A"/>
    <w:rsid w:val="005E303F"/>
    <w:rsid w:val="005E36A8"/>
    <w:rsid w:val="005E3DEB"/>
    <w:rsid w:val="005E3F53"/>
    <w:rsid w:val="005E60CA"/>
    <w:rsid w:val="005E6CEC"/>
    <w:rsid w:val="005E7BB0"/>
    <w:rsid w:val="005F06C2"/>
    <w:rsid w:val="005F09CA"/>
    <w:rsid w:val="005F0A39"/>
    <w:rsid w:val="005F101E"/>
    <w:rsid w:val="005F2E35"/>
    <w:rsid w:val="005F2EAF"/>
    <w:rsid w:val="005F373B"/>
    <w:rsid w:val="005F43FC"/>
    <w:rsid w:val="005F5C6D"/>
    <w:rsid w:val="005F61CC"/>
    <w:rsid w:val="005F6589"/>
    <w:rsid w:val="005F6C02"/>
    <w:rsid w:val="005F719B"/>
    <w:rsid w:val="005F75DE"/>
    <w:rsid w:val="005F7F0A"/>
    <w:rsid w:val="00600C65"/>
    <w:rsid w:val="00600CF4"/>
    <w:rsid w:val="00600D43"/>
    <w:rsid w:val="00601106"/>
    <w:rsid w:val="00601243"/>
    <w:rsid w:val="00602161"/>
    <w:rsid w:val="006022B4"/>
    <w:rsid w:val="00602F82"/>
    <w:rsid w:val="006038D4"/>
    <w:rsid w:val="00603B64"/>
    <w:rsid w:val="00603B87"/>
    <w:rsid w:val="00603EC9"/>
    <w:rsid w:val="006061AA"/>
    <w:rsid w:val="006065F7"/>
    <w:rsid w:val="00607E20"/>
    <w:rsid w:val="00607F76"/>
    <w:rsid w:val="006101C7"/>
    <w:rsid w:val="00610A46"/>
    <w:rsid w:val="006138CB"/>
    <w:rsid w:val="00613B81"/>
    <w:rsid w:val="006140A4"/>
    <w:rsid w:val="00615520"/>
    <w:rsid w:val="0061564D"/>
    <w:rsid w:val="0061608D"/>
    <w:rsid w:val="00616AE6"/>
    <w:rsid w:val="00616E5B"/>
    <w:rsid w:val="0061741C"/>
    <w:rsid w:val="006174BA"/>
    <w:rsid w:val="006174EC"/>
    <w:rsid w:val="0061759D"/>
    <w:rsid w:val="006176B5"/>
    <w:rsid w:val="00622A3D"/>
    <w:rsid w:val="006241EF"/>
    <w:rsid w:val="00624225"/>
    <w:rsid w:val="0062486A"/>
    <w:rsid w:val="00624AF7"/>
    <w:rsid w:val="00624DCE"/>
    <w:rsid w:val="006259E1"/>
    <w:rsid w:val="006274B4"/>
    <w:rsid w:val="00627584"/>
    <w:rsid w:val="0063151B"/>
    <w:rsid w:val="00632D39"/>
    <w:rsid w:val="0063636C"/>
    <w:rsid w:val="00636B94"/>
    <w:rsid w:val="006405B9"/>
    <w:rsid w:val="00642EDA"/>
    <w:rsid w:val="00643402"/>
    <w:rsid w:val="006435D1"/>
    <w:rsid w:val="00646EF3"/>
    <w:rsid w:val="00647C0D"/>
    <w:rsid w:val="00647C7A"/>
    <w:rsid w:val="00650FF8"/>
    <w:rsid w:val="0065126C"/>
    <w:rsid w:val="00651463"/>
    <w:rsid w:val="00651732"/>
    <w:rsid w:val="00652B91"/>
    <w:rsid w:val="006533CA"/>
    <w:rsid w:val="00654595"/>
    <w:rsid w:val="0065595D"/>
    <w:rsid w:val="00655F3A"/>
    <w:rsid w:val="006562F4"/>
    <w:rsid w:val="006579B0"/>
    <w:rsid w:val="00657BD9"/>
    <w:rsid w:val="00661018"/>
    <w:rsid w:val="00661BFB"/>
    <w:rsid w:val="0066249D"/>
    <w:rsid w:val="00663AA3"/>
    <w:rsid w:val="00664279"/>
    <w:rsid w:val="00664475"/>
    <w:rsid w:val="00664C29"/>
    <w:rsid w:val="0066562E"/>
    <w:rsid w:val="00666108"/>
    <w:rsid w:val="00666392"/>
    <w:rsid w:val="006672FF"/>
    <w:rsid w:val="00667B75"/>
    <w:rsid w:val="00672D57"/>
    <w:rsid w:val="00672F96"/>
    <w:rsid w:val="006735C0"/>
    <w:rsid w:val="00673BE8"/>
    <w:rsid w:val="00675594"/>
    <w:rsid w:val="006776A7"/>
    <w:rsid w:val="006779F0"/>
    <w:rsid w:val="00677E85"/>
    <w:rsid w:val="0068181A"/>
    <w:rsid w:val="0068189A"/>
    <w:rsid w:val="00682062"/>
    <w:rsid w:val="0068261D"/>
    <w:rsid w:val="006828D2"/>
    <w:rsid w:val="00683CCF"/>
    <w:rsid w:val="00684A7E"/>
    <w:rsid w:val="0068534B"/>
    <w:rsid w:val="00685985"/>
    <w:rsid w:val="006861B8"/>
    <w:rsid w:val="00686331"/>
    <w:rsid w:val="00690A32"/>
    <w:rsid w:val="006918D5"/>
    <w:rsid w:val="006924FE"/>
    <w:rsid w:val="0069277B"/>
    <w:rsid w:val="0069355E"/>
    <w:rsid w:val="00693C46"/>
    <w:rsid w:val="00695338"/>
    <w:rsid w:val="00695EAF"/>
    <w:rsid w:val="0069640F"/>
    <w:rsid w:val="0069664E"/>
    <w:rsid w:val="006A1901"/>
    <w:rsid w:val="006A306C"/>
    <w:rsid w:val="006A44AF"/>
    <w:rsid w:val="006A46F5"/>
    <w:rsid w:val="006A4928"/>
    <w:rsid w:val="006A5189"/>
    <w:rsid w:val="006A52BD"/>
    <w:rsid w:val="006A5366"/>
    <w:rsid w:val="006A5DA7"/>
    <w:rsid w:val="006A685A"/>
    <w:rsid w:val="006A6A06"/>
    <w:rsid w:val="006A6A40"/>
    <w:rsid w:val="006B13CC"/>
    <w:rsid w:val="006B3A9F"/>
    <w:rsid w:val="006B3C68"/>
    <w:rsid w:val="006B3FF6"/>
    <w:rsid w:val="006B5F34"/>
    <w:rsid w:val="006B6CE9"/>
    <w:rsid w:val="006B6FAE"/>
    <w:rsid w:val="006B78AC"/>
    <w:rsid w:val="006B790E"/>
    <w:rsid w:val="006C02D1"/>
    <w:rsid w:val="006C0D3B"/>
    <w:rsid w:val="006C10D2"/>
    <w:rsid w:val="006C3321"/>
    <w:rsid w:val="006C4915"/>
    <w:rsid w:val="006C4D77"/>
    <w:rsid w:val="006C4F1C"/>
    <w:rsid w:val="006C5715"/>
    <w:rsid w:val="006C6378"/>
    <w:rsid w:val="006C63E9"/>
    <w:rsid w:val="006C665A"/>
    <w:rsid w:val="006C7A00"/>
    <w:rsid w:val="006D0502"/>
    <w:rsid w:val="006D134C"/>
    <w:rsid w:val="006D1B32"/>
    <w:rsid w:val="006E09C2"/>
    <w:rsid w:val="006E21F2"/>
    <w:rsid w:val="006E2277"/>
    <w:rsid w:val="006E276E"/>
    <w:rsid w:val="006E32A1"/>
    <w:rsid w:val="006E410F"/>
    <w:rsid w:val="006E7B09"/>
    <w:rsid w:val="006F13C7"/>
    <w:rsid w:val="006F27C0"/>
    <w:rsid w:val="006F3281"/>
    <w:rsid w:val="006F37A4"/>
    <w:rsid w:val="006F39F8"/>
    <w:rsid w:val="006F3B3D"/>
    <w:rsid w:val="006F48FE"/>
    <w:rsid w:val="006F58D5"/>
    <w:rsid w:val="006F71EC"/>
    <w:rsid w:val="006F720B"/>
    <w:rsid w:val="007016C8"/>
    <w:rsid w:val="00702276"/>
    <w:rsid w:val="0070261D"/>
    <w:rsid w:val="00702E7A"/>
    <w:rsid w:val="00702F93"/>
    <w:rsid w:val="007036F3"/>
    <w:rsid w:val="00704496"/>
    <w:rsid w:val="00704AFE"/>
    <w:rsid w:val="007059B0"/>
    <w:rsid w:val="0070634D"/>
    <w:rsid w:val="00706642"/>
    <w:rsid w:val="00706A1E"/>
    <w:rsid w:val="00706BCF"/>
    <w:rsid w:val="00707426"/>
    <w:rsid w:val="0070773F"/>
    <w:rsid w:val="00710EDE"/>
    <w:rsid w:val="00711E7B"/>
    <w:rsid w:val="00712C80"/>
    <w:rsid w:val="007154E2"/>
    <w:rsid w:val="0071599E"/>
    <w:rsid w:val="0071695F"/>
    <w:rsid w:val="00716E57"/>
    <w:rsid w:val="007170D1"/>
    <w:rsid w:val="00717387"/>
    <w:rsid w:val="007177E4"/>
    <w:rsid w:val="00717959"/>
    <w:rsid w:val="00717E53"/>
    <w:rsid w:val="007200F5"/>
    <w:rsid w:val="00720C60"/>
    <w:rsid w:val="00721216"/>
    <w:rsid w:val="007216F6"/>
    <w:rsid w:val="00721E75"/>
    <w:rsid w:val="007222A4"/>
    <w:rsid w:val="00723152"/>
    <w:rsid w:val="007239CC"/>
    <w:rsid w:val="00724712"/>
    <w:rsid w:val="00725167"/>
    <w:rsid w:val="007263D8"/>
    <w:rsid w:val="00727E23"/>
    <w:rsid w:val="0073107C"/>
    <w:rsid w:val="00731AF5"/>
    <w:rsid w:val="00732360"/>
    <w:rsid w:val="00734BBE"/>
    <w:rsid w:val="00735303"/>
    <w:rsid w:val="0073530A"/>
    <w:rsid w:val="00736154"/>
    <w:rsid w:val="00736D1D"/>
    <w:rsid w:val="00737065"/>
    <w:rsid w:val="0074030F"/>
    <w:rsid w:val="00741243"/>
    <w:rsid w:val="00741529"/>
    <w:rsid w:val="0074304A"/>
    <w:rsid w:val="00743448"/>
    <w:rsid w:val="0074367A"/>
    <w:rsid w:val="007442FF"/>
    <w:rsid w:val="007458C2"/>
    <w:rsid w:val="0074603A"/>
    <w:rsid w:val="00746044"/>
    <w:rsid w:val="00747377"/>
    <w:rsid w:val="007477C0"/>
    <w:rsid w:val="00747B4F"/>
    <w:rsid w:val="00750124"/>
    <w:rsid w:val="00750707"/>
    <w:rsid w:val="00750F51"/>
    <w:rsid w:val="007512AF"/>
    <w:rsid w:val="007527BF"/>
    <w:rsid w:val="0075409C"/>
    <w:rsid w:val="00754188"/>
    <w:rsid w:val="00754436"/>
    <w:rsid w:val="00755159"/>
    <w:rsid w:val="0075640A"/>
    <w:rsid w:val="007573A1"/>
    <w:rsid w:val="00757A67"/>
    <w:rsid w:val="00760128"/>
    <w:rsid w:val="0076111A"/>
    <w:rsid w:val="00761E24"/>
    <w:rsid w:val="00763D47"/>
    <w:rsid w:val="007640C0"/>
    <w:rsid w:val="00764659"/>
    <w:rsid w:val="00764BA6"/>
    <w:rsid w:val="007652A8"/>
    <w:rsid w:val="007657EB"/>
    <w:rsid w:val="00765828"/>
    <w:rsid w:val="00766E0F"/>
    <w:rsid w:val="00767135"/>
    <w:rsid w:val="00767A8D"/>
    <w:rsid w:val="00770062"/>
    <w:rsid w:val="00770143"/>
    <w:rsid w:val="00770768"/>
    <w:rsid w:val="00772A28"/>
    <w:rsid w:val="00772A6E"/>
    <w:rsid w:val="00772DCF"/>
    <w:rsid w:val="00772E66"/>
    <w:rsid w:val="0077463C"/>
    <w:rsid w:val="0077606F"/>
    <w:rsid w:val="007764F5"/>
    <w:rsid w:val="0077681D"/>
    <w:rsid w:val="00777214"/>
    <w:rsid w:val="007815FC"/>
    <w:rsid w:val="007859E1"/>
    <w:rsid w:val="00785EBE"/>
    <w:rsid w:val="00785EFE"/>
    <w:rsid w:val="00785FB6"/>
    <w:rsid w:val="00787266"/>
    <w:rsid w:val="0079083E"/>
    <w:rsid w:val="007908A1"/>
    <w:rsid w:val="00794825"/>
    <w:rsid w:val="00794948"/>
    <w:rsid w:val="0079497F"/>
    <w:rsid w:val="00794C7B"/>
    <w:rsid w:val="00794E8B"/>
    <w:rsid w:val="00796072"/>
    <w:rsid w:val="007974AD"/>
    <w:rsid w:val="007A174F"/>
    <w:rsid w:val="007A2160"/>
    <w:rsid w:val="007A292A"/>
    <w:rsid w:val="007A2BC3"/>
    <w:rsid w:val="007A32AA"/>
    <w:rsid w:val="007A3C16"/>
    <w:rsid w:val="007A439C"/>
    <w:rsid w:val="007A4680"/>
    <w:rsid w:val="007A46F6"/>
    <w:rsid w:val="007A5D9E"/>
    <w:rsid w:val="007A5E98"/>
    <w:rsid w:val="007A7169"/>
    <w:rsid w:val="007A7867"/>
    <w:rsid w:val="007A7922"/>
    <w:rsid w:val="007A7DE2"/>
    <w:rsid w:val="007B1BB7"/>
    <w:rsid w:val="007B4220"/>
    <w:rsid w:val="007B43A4"/>
    <w:rsid w:val="007B5082"/>
    <w:rsid w:val="007B5670"/>
    <w:rsid w:val="007B5727"/>
    <w:rsid w:val="007B5DC8"/>
    <w:rsid w:val="007B666B"/>
    <w:rsid w:val="007B688B"/>
    <w:rsid w:val="007B6DF8"/>
    <w:rsid w:val="007B7D2E"/>
    <w:rsid w:val="007B7EDD"/>
    <w:rsid w:val="007C00C2"/>
    <w:rsid w:val="007C034D"/>
    <w:rsid w:val="007C0537"/>
    <w:rsid w:val="007C1730"/>
    <w:rsid w:val="007C28FE"/>
    <w:rsid w:val="007C2CF7"/>
    <w:rsid w:val="007C2D81"/>
    <w:rsid w:val="007C4580"/>
    <w:rsid w:val="007C4C60"/>
    <w:rsid w:val="007C5FCF"/>
    <w:rsid w:val="007D0320"/>
    <w:rsid w:val="007D0CFC"/>
    <w:rsid w:val="007D0FDA"/>
    <w:rsid w:val="007D35F2"/>
    <w:rsid w:val="007D3EE2"/>
    <w:rsid w:val="007D42D6"/>
    <w:rsid w:val="007D4DB8"/>
    <w:rsid w:val="007D59CC"/>
    <w:rsid w:val="007D5C6A"/>
    <w:rsid w:val="007D637B"/>
    <w:rsid w:val="007D6A91"/>
    <w:rsid w:val="007E02B5"/>
    <w:rsid w:val="007E429A"/>
    <w:rsid w:val="007E4306"/>
    <w:rsid w:val="007E58E8"/>
    <w:rsid w:val="007E5C0F"/>
    <w:rsid w:val="007E5E03"/>
    <w:rsid w:val="007E6445"/>
    <w:rsid w:val="007E7FE1"/>
    <w:rsid w:val="007F2490"/>
    <w:rsid w:val="007F38A7"/>
    <w:rsid w:val="007F453C"/>
    <w:rsid w:val="007F47CB"/>
    <w:rsid w:val="007F658A"/>
    <w:rsid w:val="007F699F"/>
    <w:rsid w:val="007F6A3C"/>
    <w:rsid w:val="008005E1"/>
    <w:rsid w:val="008006E1"/>
    <w:rsid w:val="00800815"/>
    <w:rsid w:val="00800E5D"/>
    <w:rsid w:val="0080145A"/>
    <w:rsid w:val="00802879"/>
    <w:rsid w:val="00802E01"/>
    <w:rsid w:val="008031F4"/>
    <w:rsid w:val="00806043"/>
    <w:rsid w:val="00806400"/>
    <w:rsid w:val="00810975"/>
    <w:rsid w:val="00810E9A"/>
    <w:rsid w:val="00811FB0"/>
    <w:rsid w:val="00812596"/>
    <w:rsid w:val="00812B85"/>
    <w:rsid w:val="0081384E"/>
    <w:rsid w:val="008158BF"/>
    <w:rsid w:val="00815B51"/>
    <w:rsid w:val="00815DD3"/>
    <w:rsid w:val="008173D9"/>
    <w:rsid w:val="008179C9"/>
    <w:rsid w:val="00820AF9"/>
    <w:rsid w:val="00820D4D"/>
    <w:rsid w:val="0082171A"/>
    <w:rsid w:val="008228EC"/>
    <w:rsid w:val="00822B20"/>
    <w:rsid w:val="00823596"/>
    <w:rsid w:val="008245F1"/>
    <w:rsid w:val="008251D8"/>
    <w:rsid w:val="0082579E"/>
    <w:rsid w:val="008267FC"/>
    <w:rsid w:val="0082696B"/>
    <w:rsid w:val="00830289"/>
    <w:rsid w:val="0083063A"/>
    <w:rsid w:val="0083070F"/>
    <w:rsid w:val="00830D06"/>
    <w:rsid w:val="00830E98"/>
    <w:rsid w:val="00831E92"/>
    <w:rsid w:val="0083225D"/>
    <w:rsid w:val="00832923"/>
    <w:rsid w:val="00832B5F"/>
    <w:rsid w:val="008331C6"/>
    <w:rsid w:val="0083614C"/>
    <w:rsid w:val="0083670D"/>
    <w:rsid w:val="008376C7"/>
    <w:rsid w:val="00840769"/>
    <w:rsid w:val="00841932"/>
    <w:rsid w:val="00842198"/>
    <w:rsid w:val="008423D9"/>
    <w:rsid w:val="008428F9"/>
    <w:rsid w:val="00844526"/>
    <w:rsid w:val="0084615E"/>
    <w:rsid w:val="00846B15"/>
    <w:rsid w:val="00847A41"/>
    <w:rsid w:val="00847A58"/>
    <w:rsid w:val="00847EA4"/>
    <w:rsid w:val="00850442"/>
    <w:rsid w:val="008529DB"/>
    <w:rsid w:val="00853D12"/>
    <w:rsid w:val="00853E7D"/>
    <w:rsid w:val="008557B8"/>
    <w:rsid w:val="00855ABC"/>
    <w:rsid w:val="00855D01"/>
    <w:rsid w:val="00855ED2"/>
    <w:rsid w:val="0085635E"/>
    <w:rsid w:val="00856375"/>
    <w:rsid w:val="00857701"/>
    <w:rsid w:val="00860F47"/>
    <w:rsid w:val="008615D5"/>
    <w:rsid w:val="00861F3E"/>
    <w:rsid w:val="00862AC6"/>
    <w:rsid w:val="00862D05"/>
    <w:rsid w:val="00862E54"/>
    <w:rsid w:val="00863556"/>
    <w:rsid w:val="008637BD"/>
    <w:rsid w:val="00865637"/>
    <w:rsid w:val="0086617D"/>
    <w:rsid w:val="008662EC"/>
    <w:rsid w:val="008668FC"/>
    <w:rsid w:val="008672AE"/>
    <w:rsid w:val="008706F2"/>
    <w:rsid w:val="00870DE0"/>
    <w:rsid w:val="00870E09"/>
    <w:rsid w:val="0087103F"/>
    <w:rsid w:val="00871668"/>
    <w:rsid w:val="00871B20"/>
    <w:rsid w:val="00871E3B"/>
    <w:rsid w:val="00873460"/>
    <w:rsid w:val="00874B75"/>
    <w:rsid w:val="00875043"/>
    <w:rsid w:val="008752AE"/>
    <w:rsid w:val="00875F3C"/>
    <w:rsid w:val="008765D9"/>
    <w:rsid w:val="00876709"/>
    <w:rsid w:val="00877A47"/>
    <w:rsid w:val="00880317"/>
    <w:rsid w:val="00880386"/>
    <w:rsid w:val="008804A5"/>
    <w:rsid w:val="008829C0"/>
    <w:rsid w:val="00884E62"/>
    <w:rsid w:val="00887196"/>
    <w:rsid w:val="008900DB"/>
    <w:rsid w:val="00890FB6"/>
    <w:rsid w:val="00891B52"/>
    <w:rsid w:val="0089416A"/>
    <w:rsid w:val="0089416C"/>
    <w:rsid w:val="00895716"/>
    <w:rsid w:val="00895CAB"/>
    <w:rsid w:val="0089623A"/>
    <w:rsid w:val="00897C72"/>
    <w:rsid w:val="00897EBA"/>
    <w:rsid w:val="008A029E"/>
    <w:rsid w:val="008A21E8"/>
    <w:rsid w:val="008A2BC8"/>
    <w:rsid w:val="008A3D6F"/>
    <w:rsid w:val="008A4AB1"/>
    <w:rsid w:val="008A7387"/>
    <w:rsid w:val="008A7514"/>
    <w:rsid w:val="008A783F"/>
    <w:rsid w:val="008B17E9"/>
    <w:rsid w:val="008B1A70"/>
    <w:rsid w:val="008B2A1F"/>
    <w:rsid w:val="008B2AA6"/>
    <w:rsid w:val="008B3190"/>
    <w:rsid w:val="008B3991"/>
    <w:rsid w:val="008B403F"/>
    <w:rsid w:val="008B4E5A"/>
    <w:rsid w:val="008B50F7"/>
    <w:rsid w:val="008B6AF6"/>
    <w:rsid w:val="008B6FC3"/>
    <w:rsid w:val="008B79A9"/>
    <w:rsid w:val="008C08CC"/>
    <w:rsid w:val="008C19D9"/>
    <w:rsid w:val="008C240D"/>
    <w:rsid w:val="008C3073"/>
    <w:rsid w:val="008C3D43"/>
    <w:rsid w:val="008C5080"/>
    <w:rsid w:val="008C5657"/>
    <w:rsid w:val="008C5663"/>
    <w:rsid w:val="008C5A9A"/>
    <w:rsid w:val="008C62B4"/>
    <w:rsid w:val="008C76BF"/>
    <w:rsid w:val="008D04ED"/>
    <w:rsid w:val="008D19A7"/>
    <w:rsid w:val="008D1B21"/>
    <w:rsid w:val="008D2761"/>
    <w:rsid w:val="008D336E"/>
    <w:rsid w:val="008D349B"/>
    <w:rsid w:val="008D470A"/>
    <w:rsid w:val="008D470D"/>
    <w:rsid w:val="008D5865"/>
    <w:rsid w:val="008D5D9F"/>
    <w:rsid w:val="008D6045"/>
    <w:rsid w:val="008E067A"/>
    <w:rsid w:val="008E179A"/>
    <w:rsid w:val="008E3FAF"/>
    <w:rsid w:val="008E4788"/>
    <w:rsid w:val="008F0501"/>
    <w:rsid w:val="008F1266"/>
    <w:rsid w:val="008F2088"/>
    <w:rsid w:val="008F2B5B"/>
    <w:rsid w:val="008F4156"/>
    <w:rsid w:val="008F5416"/>
    <w:rsid w:val="008F575A"/>
    <w:rsid w:val="008F7CEB"/>
    <w:rsid w:val="00902D03"/>
    <w:rsid w:val="009032D0"/>
    <w:rsid w:val="009039BE"/>
    <w:rsid w:val="00904691"/>
    <w:rsid w:val="009048C7"/>
    <w:rsid w:val="0090578F"/>
    <w:rsid w:val="00906BFB"/>
    <w:rsid w:val="00907190"/>
    <w:rsid w:val="00910336"/>
    <w:rsid w:val="00910772"/>
    <w:rsid w:val="009127F6"/>
    <w:rsid w:val="00912BB1"/>
    <w:rsid w:val="00914721"/>
    <w:rsid w:val="0091480C"/>
    <w:rsid w:val="00914FC8"/>
    <w:rsid w:val="00916934"/>
    <w:rsid w:val="009209D1"/>
    <w:rsid w:val="009217E0"/>
    <w:rsid w:val="00922910"/>
    <w:rsid w:val="00922AF8"/>
    <w:rsid w:val="00922DEB"/>
    <w:rsid w:val="009237F9"/>
    <w:rsid w:val="009245AE"/>
    <w:rsid w:val="009268DE"/>
    <w:rsid w:val="00927BDD"/>
    <w:rsid w:val="00927C2F"/>
    <w:rsid w:val="009308BB"/>
    <w:rsid w:val="009323FA"/>
    <w:rsid w:val="009331FC"/>
    <w:rsid w:val="00933C6A"/>
    <w:rsid w:val="009351E2"/>
    <w:rsid w:val="00935E77"/>
    <w:rsid w:val="009365A7"/>
    <w:rsid w:val="00936EC8"/>
    <w:rsid w:val="00937344"/>
    <w:rsid w:val="009422B1"/>
    <w:rsid w:val="009422DA"/>
    <w:rsid w:val="0094297C"/>
    <w:rsid w:val="00943120"/>
    <w:rsid w:val="00943976"/>
    <w:rsid w:val="00944930"/>
    <w:rsid w:val="00945EBF"/>
    <w:rsid w:val="00946AA4"/>
    <w:rsid w:val="009507DD"/>
    <w:rsid w:val="009510AE"/>
    <w:rsid w:val="00951A1B"/>
    <w:rsid w:val="00951A60"/>
    <w:rsid w:val="009533F6"/>
    <w:rsid w:val="009541B2"/>
    <w:rsid w:val="009552CE"/>
    <w:rsid w:val="00955E5F"/>
    <w:rsid w:val="00956A39"/>
    <w:rsid w:val="009612C2"/>
    <w:rsid w:val="00961E52"/>
    <w:rsid w:val="00963250"/>
    <w:rsid w:val="009633AB"/>
    <w:rsid w:val="00963DEE"/>
    <w:rsid w:val="0096436E"/>
    <w:rsid w:val="009645B9"/>
    <w:rsid w:val="009649A6"/>
    <w:rsid w:val="00964B33"/>
    <w:rsid w:val="00965EB0"/>
    <w:rsid w:val="00965F99"/>
    <w:rsid w:val="0096647E"/>
    <w:rsid w:val="00966661"/>
    <w:rsid w:val="00966B3B"/>
    <w:rsid w:val="00966EE0"/>
    <w:rsid w:val="0096703F"/>
    <w:rsid w:val="009677C1"/>
    <w:rsid w:val="00967C5C"/>
    <w:rsid w:val="0097103D"/>
    <w:rsid w:val="009716D5"/>
    <w:rsid w:val="0097188D"/>
    <w:rsid w:val="00971E77"/>
    <w:rsid w:val="00971FF4"/>
    <w:rsid w:val="009721C5"/>
    <w:rsid w:val="00972715"/>
    <w:rsid w:val="009739B9"/>
    <w:rsid w:val="00974741"/>
    <w:rsid w:val="00974975"/>
    <w:rsid w:val="00974E91"/>
    <w:rsid w:val="00975E04"/>
    <w:rsid w:val="00976FE4"/>
    <w:rsid w:val="009772FF"/>
    <w:rsid w:val="00977661"/>
    <w:rsid w:val="0098056D"/>
    <w:rsid w:val="00980F2C"/>
    <w:rsid w:val="00981311"/>
    <w:rsid w:val="0098176A"/>
    <w:rsid w:val="0098206E"/>
    <w:rsid w:val="00983B04"/>
    <w:rsid w:val="00984451"/>
    <w:rsid w:val="00985446"/>
    <w:rsid w:val="009859AE"/>
    <w:rsid w:val="00987082"/>
    <w:rsid w:val="009870AE"/>
    <w:rsid w:val="00987377"/>
    <w:rsid w:val="009915D7"/>
    <w:rsid w:val="00991E40"/>
    <w:rsid w:val="009929B9"/>
    <w:rsid w:val="009931D4"/>
    <w:rsid w:val="0099354C"/>
    <w:rsid w:val="009937BA"/>
    <w:rsid w:val="00993F3E"/>
    <w:rsid w:val="009948EB"/>
    <w:rsid w:val="009951A0"/>
    <w:rsid w:val="00995A5F"/>
    <w:rsid w:val="00995BD3"/>
    <w:rsid w:val="00997FEF"/>
    <w:rsid w:val="009A09AC"/>
    <w:rsid w:val="009A1986"/>
    <w:rsid w:val="009A1FDA"/>
    <w:rsid w:val="009A2503"/>
    <w:rsid w:val="009A2AD8"/>
    <w:rsid w:val="009A3B58"/>
    <w:rsid w:val="009A4125"/>
    <w:rsid w:val="009A4593"/>
    <w:rsid w:val="009A5EF8"/>
    <w:rsid w:val="009A6B39"/>
    <w:rsid w:val="009A6F87"/>
    <w:rsid w:val="009B14C8"/>
    <w:rsid w:val="009B1770"/>
    <w:rsid w:val="009B3A37"/>
    <w:rsid w:val="009B527E"/>
    <w:rsid w:val="009B6542"/>
    <w:rsid w:val="009B6D34"/>
    <w:rsid w:val="009B77B1"/>
    <w:rsid w:val="009B7E1B"/>
    <w:rsid w:val="009C06C4"/>
    <w:rsid w:val="009C19D9"/>
    <w:rsid w:val="009C2CC2"/>
    <w:rsid w:val="009C3D5E"/>
    <w:rsid w:val="009C4A0F"/>
    <w:rsid w:val="009C5518"/>
    <w:rsid w:val="009C7E80"/>
    <w:rsid w:val="009D0844"/>
    <w:rsid w:val="009D0971"/>
    <w:rsid w:val="009D2310"/>
    <w:rsid w:val="009D323B"/>
    <w:rsid w:val="009D4136"/>
    <w:rsid w:val="009D41C4"/>
    <w:rsid w:val="009D423E"/>
    <w:rsid w:val="009D4797"/>
    <w:rsid w:val="009D5257"/>
    <w:rsid w:val="009D5635"/>
    <w:rsid w:val="009D6888"/>
    <w:rsid w:val="009D7A4D"/>
    <w:rsid w:val="009D7E30"/>
    <w:rsid w:val="009D7EB1"/>
    <w:rsid w:val="009E18CD"/>
    <w:rsid w:val="009E1A20"/>
    <w:rsid w:val="009E2A49"/>
    <w:rsid w:val="009E2C8C"/>
    <w:rsid w:val="009E375E"/>
    <w:rsid w:val="009E40A5"/>
    <w:rsid w:val="009E5202"/>
    <w:rsid w:val="009E53F3"/>
    <w:rsid w:val="009E67BC"/>
    <w:rsid w:val="009E68CA"/>
    <w:rsid w:val="009F05E6"/>
    <w:rsid w:val="009F1BED"/>
    <w:rsid w:val="009F1C52"/>
    <w:rsid w:val="009F2AC6"/>
    <w:rsid w:val="009F5CBA"/>
    <w:rsid w:val="009F6E8D"/>
    <w:rsid w:val="00A00665"/>
    <w:rsid w:val="00A007AA"/>
    <w:rsid w:val="00A009E8"/>
    <w:rsid w:val="00A00C3F"/>
    <w:rsid w:val="00A00E3E"/>
    <w:rsid w:val="00A0122D"/>
    <w:rsid w:val="00A0184B"/>
    <w:rsid w:val="00A01BF2"/>
    <w:rsid w:val="00A027A9"/>
    <w:rsid w:val="00A05C9F"/>
    <w:rsid w:val="00A06506"/>
    <w:rsid w:val="00A07488"/>
    <w:rsid w:val="00A10110"/>
    <w:rsid w:val="00A10601"/>
    <w:rsid w:val="00A10E27"/>
    <w:rsid w:val="00A12375"/>
    <w:rsid w:val="00A1242C"/>
    <w:rsid w:val="00A12EF7"/>
    <w:rsid w:val="00A1323D"/>
    <w:rsid w:val="00A139A3"/>
    <w:rsid w:val="00A13F82"/>
    <w:rsid w:val="00A14146"/>
    <w:rsid w:val="00A143F8"/>
    <w:rsid w:val="00A14B2A"/>
    <w:rsid w:val="00A14E9E"/>
    <w:rsid w:val="00A16295"/>
    <w:rsid w:val="00A16AC4"/>
    <w:rsid w:val="00A20F7C"/>
    <w:rsid w:val="00A20FAC"/>
    <w:rsid w:val="00A21260"/>
    <w:rsid w:val="00A21BBB"/>
    <w:rsid w:val="00A21F7F"/>
    <w:rsid w:val="00A22017"/>
    <w:rsid w:val="00A22593"/>
    <w:rsid w:val="00A230E7"/>
    <w:rsid w:val="00A23575"/>
    <w:rsid w:val="00A248B6"/>
    <w:rsid w:val="00A24CF6"/>
    <w:rsid w:val="00A26934"/>
    <w:rsid w:val="00A26950"/>
    <w:rsid w:val="00A27C38"/>
    <w:rsid w:val="00A27C4E"/>
    <w:rsid w:val="00A27CED"/>
    <w:rsid w:val="00A27E33"/>
    <w:rsid w:val="00A30D9C"/>
    <w:rsid w:val="00A3107B"/>
    <w:rsid w:val="00A310E1"/>
    <w:rsid w:val="00A31FCF"/>
    <w:rsid w:val="00A31FF4"/>
    <w:rsid w:val="00A32B1A"/>
    <w:rsid w:val="00A3314E"/>
    <w:rsid w:val="00A36699"/>
    <w:rsid w:val="00A36A17"/>
    <w:rsid w:val="00A4165F"/>
    <w:rsid w:val="00A417B6"/>
    <w:rsid w:val="00A42286"/>
    <w:rsid w:val="00A42BD1"/>
    <w:rsid w:val="00A42EEE"/>
    <w:rsid w:val="00A44C7A"/>
    <w:rsid w:val="00A4655D"/>
    <w:rsid w:val="00A471F1"/>
    <w:rsid w:val="00A47855"/>
    <w:rsid w:val="00A50369"/>
    <w:rsid w:val="00A50702"/>
    <w:rsid w:val="00A50AFF"/>
    <w:rsid w:val="00A51671"/>
    <w:rsid w:val="00A5185F"/>
    <w:rsid w:val="00A5218B"/>
    <w:rsid w:val="00A564BD"/>
    <w:rsid w:val="00A56DAD"/>
    <w:rsid w:val="00A60F7C"/>
    <w:rsid w:val="00A610DC"/>
    <w:rsid w:val="00A613F8"/>
    <w:rsid w:val="00A61613"/>
    <w:rsid w:val="00A617C5"/>
    <w:rsid w:val="00A62146"/>
    <w:rsid w:val="00A62A16"/>
    <w:rsid w:val="00A62C46"/>
    <w:rsid w:val="00A633BB"/>
    <w:rsid w:val="00A6356C"/>
    <w:rsid w:val="00A644B4"/>
    <w:rsid w:val="00A66BC5"/>
    <w:rsid w:val="00A66D1C"/>
    <w:rsid w:val="00A671E9"/>
    <w:rsid w:val="00A6734B"/>
    <w:rsid w:val="00A70112"/>
    <w:rsid w:val="00A7063C"/>
    <w:rsid w:val="00A70A4D"/>
    <w:rsid w:val="00A70AC9"/>
    <w:rsid w:val="00A70D4F"/>
    <w:rsid w:val="00A738F4"/>
    <w:rsid w:val="00A7427B"/>
    <w:rsid w:val="00A743A6"/>
    <w:rsid w:val="00A74AD7"/>
    <w:rsid w:val="00A74EDC"/>
    <w:rsid w:val="00A75730"/>
    <w:rsid w:val="00A75C19"/>
    <w:rsid w:val="00A75EA1"/>
    <w:rsid w:val="00A76313"/>
    <w:rsid w:val="00A76712"/>
    <w:rsid w:val="00A777AD"/>
    <w:rsid w:val="00A81C7B"/>
    <w:rsid w:val="00A82294"/>
    <w:rsid w:val="00A82D9A"/>
    <w:rsid w:val="00A83125"/>
    <w:rsid w:val="00A8340E"/>
    <w:rsid w:val="00A8429B"/>
    <w:rsid w:val="00A85039"/>
    <w:rsid w:val="00A85243"/>
    <w:rsid w:val="00A85374"/>
    <w:rsid w:val="00A858D8"/>
    <w:rsid w:val="00A85AD9"/>
    <w:rsid w:val="00A8627E"/>
    <w:rsid w:val="00A90332"/>
    <w:rsid w:val="00A90E58"/>
    <w:rsid w:val="00A910CD"/>
    <w:rsid w:val="00A917AC"/>
    <w:rsid w:val="00A931DE"/>
    <w:rsid w:val="00A933F9"/>
    <w:rsid w:val="00A95595"/>
    <w:rsid w:val="00A96C87"/>
    <w:rsid w:val="00A96E7C"/>
    <w:rsid w:val="00A979C4"/>
    <w:rsid w:val="00A97C41"/>
    <w:rsid w:val="00AA12D9"/>
    <w:rsid w:val="00AA15E4"/>
    <w:rsid w:val="00AA1EAC"/>
    <w:rsid w:val="00AA1FFF"/>
    <w:rsid w:val="00AA216E"/>
    <w:rsid w:val="00AA2386"/>
    <w:rsid w:val="00AA301C"/>
    <w:rsid w:val="00AA4624"/>
    <w:rsid w:val="00AA6883"/>
    <w:rsid w:val="00AA69CD"/>
    <w:rsid w:val="00AA69EA"/>
    <w:rsid w:val="00AB04BA"/>
    <w:rsid w:val="00AB19CC"/>
    <w:rsid w:val="00AB1F52"/>
    <w:rsid w:val="00AB3AB4"/>
    <w:rsid w:val="00AB3B03"/>
    <w:rsid w:val="00AB454F"/>
    <w:rsid w:val="00AB4B46"/>
    <w:rsid w:val="00AB54E6"/>
    <w:rsid w:val="00AB5F44"/>
    <w:rsid w:val="00AB5F92"/>
    <w:rsid w:val="00AC07AA"/>
    <w:rsid w:val="00AC0F68"/>
    <w:rsid w:val="00AC11A6"/>
    <w:rsid w:val="00AC1935"/>
    <w:rsid w:val="00AC1E48"/>
    <w:rsid w:val="00AC2EDF"/>
    <w:rsid w:val="00AC387C"/>
    <w:rsid w:val="00AC3A26"/>
    <w:rsid w:val="00AC5464"/>
    <w:rsid w:val="00AC60B2"/>
    <w:rsid w:val="00AC60E6"/>
    <w:rsid w:val="00AC6273"/>
    <w:rsid w:val="00AC72E5"/>
    <w:rsid w:val="00AC7DB4"/>
    <w:rsid w:val="00AD019B"/>
    <w:rsid w:val="00AD0212"/>
    <w:rsid w:val="00AD1DC8"/>
    <w:rsid w:val="00AD2FC7"/>
    <w:rsid w:val="00AD43A7"/>
    <w:rsid w:val="00AD43D6"/>
    <w:rsid w:val="00AD4D61"/>
    <w:rsid w:val="00AD4FAD"/>
    <w:rsid w:val="00AD5E0E"/>
    <w:rsid w:val="00AD5E4E"/>
    <w:rsid w:val="00AD62B2"/>
    <w:rsid w:val="00AD64D7"/>
    <w:rsid w:val="00AD70A2"/>
    <w:rsid w:val="00AD7174"/>
    <w:rsid w:val="00AD7629"/>
    <w:rsid w:val="00AD7B62"/>
    <w:rsid w:val="00AD7D9E"/>
    <w:rsid w:val="00AE045E"/>
    <w:rsid w:val="00AE0A19"/>
    <w:rsid w:val="00AE0C9F"/>
    <w:rsid w:val="00AE166F"/>
    <w:rsid w:val="00AE1C6C"/>
    <w:rsid w:val="00AE1E9D"/>
    <w:rsid w:val="00AE2035"/>
    <w:rsid w:val="00AE2A62"/>
    <w:rsid w:val="00AE2D6C"/>
    <w:rsid w:val="00AE3278"/>
    <w:rsid w:val="00AE3BED"/>
    <w:rsid w:val="00AE42DF"/>
    <w:rsid w:val="00AE460E"/>
    <w:rsid w:val="00AE480A"/>
    <w:rsid w:val="00AF08A4"/>
    <w:rsid w:val="00AF0F79"/>
    <w:rsid w:val="00AF19E8"/>
    <w:rsid w:val="00AF2456"/>
    <w:rsid w:val="00AF28A5"/>
    <w:rsid w:val="00AF3C84"/>
    <w:rsid w:val="00AF3FF4"/>
    <w:rsid w:val="00AF4800"/>
    <w:rsid w:val="00AF5C69"/>
    <w:rsid w:val="00AF6026"/>
    <w:rsid w:val="00AF68FB"/>
    <w:rsid w:val="00AF7E04"/>
    <w:rsid w:val="00B00FBF"/>
    <w:rsid w:val="00B011E4"/>
    <w:rsid w:val="00B013AB"/>
    <w:rsid w:val="00B01ACF"/>
    <w:rsid w:val="00B03D4C"/>
    <w:rsid w:val="00B04A76"/>
    <w:rsid w:val="00B04B52"/>
    <w:rsid w:val="00B05B8C"/>
    <w:rsid w:val="00B06737"/>
    <w:rsid w:val="00B07E58"/>
    <w:rsid w:val="00B10416"/>
    <w:rsid w:val="00B1074B"/>
    <w:rsid w:val="00B107F1"/>
    <w:rsid w:val="00B11D2A"/>
    <w:rsid w:val="00B11E42"/>
    <w:rsid w:val="00B122E9"/>
    <w:rsid w:val="00B12F29"/>
    <w:rsid w:val="00B12F3C"/>
    <w:rsid w:val="00B1342B"/>
    <w:rsid w:val="00B13765"/>
    <w:rsid w:val="00B137A6"/>
    <w:rsid w:val="00B13F13"/>
    <w:rsid w:val="00B147B1"/>
    <w:rsid w:val="00B149C6"/>
    <w:rsid w:val="00B1588F"/>
    <w:rsid w:val="00B1799B"/>
    <w:rsid w:val="00B2051A"/>
    <w:rsid w:val="00B2058F"/>
    <w:rsid w:val="00B206EA"/>
    <w:rsid w:val="00B20D4D"/>
    <w:rsid w:val="00B2237B"/>
    <w:rsid w:val="00B22AE9"/>
    <w:rsid w:val="00B2329B"/>
    <w:rsid w:val="00B233CC"/>
    <w:rsid w:val="00B237A8"/>
    <w:rsid w:val="00B256DF"/>
    <w:rsid w:val="00B268F4"/>
    <w:rsid w:val="00B269CE"/>
    <w:rsid w:val="00B31691"/>
    <w:rsid w:val="00B32998"/>
    <w:rsid w:val="00B32C4F"/>
    <w:rsid w:val="00B35BAF"/>
    <w:rsid w:val="00B374DA"/>
    <w:rsid w:val="00B37BE6"/>
    <w:rsid w:val="00B429F6"/>
    <w:rsid w:val="00B4317C"/>
    <w:rsid w:val="00B43193"/>
    <w:rsid w:val="00B4336D"/>
    <w:rsid w:val="00B43533"/>
    <w:rsid w:val="00B4357F"/>
    <w:rsid w:val="00B43B4F"/>
    <w:rsid w:val="00B44B5C"/>
    <w:rsid w:val="00B45868"/>
    <w:rsid w:val="00B45E5B"/>
    <w:rsid w:val="00B46244"/>
    <w:rsid w:val="00B47EEA"/>
    <w:rsid w:val="00B51378"/>
    <w:rsid w:val="00B51389"/>
    <w:rsid w:val="00B52602"/>
    <w:rsid w:val="00B53678"/>
    <w:rsid w:val="00B547E2"/>
    <w:rsid w:val="00B55759"/>
    <w:rsid w:val="00B55A84"/>
    <w:rsid w:val="00B55B6C"/>
    <w:rsid w:val="00B55E70"/>
    <w:rsid w:val="00B55EFC"/>
    <w:rsid w:val="00B56320"/>
    <w:rsid w:val="00B616EF"/>
    <w:rsid w:val="00B619BF"/>
    <w:rsid w:val="00B62601"/>
    <w:rsid w:val="00B627D6"/>
    <w:rsid w:val="00B62C95"/>
    <w:rsid w:val="00B63876"/>
    <w:rsid w:val="00B63AA5"/>
    <w:rsid w:val="00B64983"/>
    <w:rsid w:val="00B64FDC"/>
    <w:rsid w:val="00B670AA"/>
    <w:rsid w:val="00B67C8F"/>
    <w:rsid w:val="00B700B2"/>
    <w:rsid w:val="00B72421"/>
    <w:rsid w:val="00B7254E"/>
    <w:rsid w:val="00B73B54"/>
    <w:rsid w:val="00B73E2E"/>
    <w:rsid w:val="00B74CFD"/>
    <w:rsid w:val="00B75471"/>
    <w:rsid w:val="00B755FD"/>
    <w:rsid w:val="00B76DAB"/>
    <w:rsid w:val="00B773D4"/>
    <w:rsid w:val="00B77A43"/>
    <w:rsid w:val="00B77E1E"/>
    <w:rsid w:val="00B80113"/>
    <w:rsid w:val="00B80521"/>
    <w:rsid w:val="00B80653"/>
    <w:rsid w:val="00B80D26"/>
    <w:rsid w:val="00B813E5"/>
    <w:rsid w:val="00B81FD1"/>
    <w:rsid w:val="00B82208"/>
    <w:rsid w:val="00B8374B"/>
    <w:rsid w:val="00B83C9D"/>
    <w:rsid w:val="00B83CD4"/>
    <w:rsid w:val="00B83F92"/>
    <w:rsid w:val="00B852D6"/>
    <w:rsid w:val="00B85549"/>
    <w:rsid w:val="00B9141B"/>
    <w:rsid w:val="00B922A8"/>
    <w:rsid w:val="00B9260E"/>
    <w:rsid w:val="00B92C1F"/>
    <w:rsid w:val="00B92FEB"/>
    <w:rsid w:val="00B9349C"/>
    <w:rsid w:val="00B93EE6"/>
    <w:rsid w:val="00B94692"/>
    <w:rsid w:val="00B9566D"/>
    <w:rsid w:val="00B959B6"/>
    <w:rsid w:val="00B96A30"/>
    <w:rsid w:val="00BA1F08"/>
    <w:rsid w:val="00BA381C"/>
    <w:rsid w:val="00BA44BB"/>
    <w:rsid w:val="00BA6015"/>
    <w:rsid w:val="00BA72D5"/>
    <w:rsid w:val="00BA7E2A"/>
    <w:rsid w:val="00BB0B5B"/>
    <w:rsid w:val="00BB36DC"/>
    <w:rsid w:val="00BB3776"/>
    <w:rsid w:val="00BB51D6"/>
    <w:rsid w:val="00BB6437"/>
    <w:rsid w:val="00BB7BCF"/>
    <w:rsid w:val="00BC0826"/>
    <w:rsid w:val="00BC0ADF"/>
    <w:rsid w:val="00BC18E0"/>
    <w:rsid w:val="00BC2242"/>
    <w:rsid w:val="00BC27AF"/>
    <w:rsid w:val="00BC2E18"/>
    <w:rsid w:val="00BC3104"/>
    <w:rsid w:val="00BC4D1F"/>
    <w:rsid w:val="00BC57AA"/>
    <w:rsid w:val="00BC646F"/>
    <w:rsid w:val="00BC64F3"/>
    <w:rsid w:val="00BC6C49"/>
    <w:rsid w:val="00BC7575"/>
    <w:rsid w:val="00BD019E"/>
    <w:rsid w:val="00BD02A6"/>
    <w:rsid w:val="00BD0E34"/>
    <w:rsid w:val="00BD1289"/>
    <w:rsid w:val="00BD21A1"/>
    <w:rsid w:val="00BD2779"/>
    <w:rsid w:val="00BD2C01"/>
    <w:rsid w:val="00BD43E2"/>
    <w:rsid w:val="00BD456E"/>
    <w:rsid w:val="00BD55DA"/>
    <w:rsid w:val="00BD609D"/>
    <w:rsid w:val="00BD6137"/>
    <w:rsid w:val="00BD6693"/>
    <w:rsid w:val="00BD7189"/>
    <w:rsid w:val="00BD723A"/>
    <w:rsid w:val="00BD7841"/>
    <w:rsid w:val="00BE0071"/>
    <w:rsid w:val="00BE0BE8"/>
    <w:rsid w:val="00BE14EC"/>
    <w:rsid w:val="00BE3035"/>
    <w:rsid w:val="00BE40AE"/>
    <w:rsid w:val="00BE4E60"/>
    <w:rsid w:val="00BE7D91"/>
    <w:rsid w:val="00BF2D04"/>
    <w:rsid w:val="00BF4C1C"/>
    <w:rsid w:val="00BF609B"/>
    <w:rsid w:val="00BF6148"/>
    <w:rsid w:val="00BF6D29"/>
    <w:rsid w:val="00BF6D67"/>
    <w:rsid w:val="00BF7AFA"/>
    <w:rsid w:val="00C005DE"/>
    <w:rsid w:val="00C029B4"/>
    <w:rsid w:val="00C02DB1"/>
    <w:rsid w:val="00C038F1"/>
    <w:rsid w:val="00C03A7A"/>
    <w:rsid w:val="00C03D31"/>
    <w:rsid w:val="00C05C6E"/>
    <w:rsid w:val="00C05F33"/>
    <w:rsid w:val="00C06059"/>
    <w:rsid w:val="00C061C2"/>
    <w:rsid w:val="00C066B5"/>
    <w:rsid w:val="00C07D14"/>
    <w:rsid w:val="00C1008E"/>
    <w:rsid w:val="00C10ADA"/>
    <w:rsid w:val="00C11F4D"/>
    <w:rsid w:val="00C1460D"/>
    <w:rsid w:val="00C14C55"/>
    <w:rsid w:val="00C15878"/>
    <w:rsid w:val="00C15F34"/>
    <w:rsid w:val="00C1632D"/>
    <w:rsid w:val="00C16CC0"/>
    <w:rsid w:val="00C20695"/>
    <w:rsid w:val="00C2098B"/>
    <w:rsid w:val="00C21144"/>
    <w:rsid w:val="00C211FD"/>
    <w:rsid w:val="00C23ECF"/>
    <w:rsid w:val="00C25F9F"/>
    <w:rsid w:val="00C26C70"/>
    <w:rsid w:val="00C26EAB"/>
    <w:rsid w:val="00C278EF"/>
    <w:rsid w:val="00C27DE3"/>
    <w:rsid w:val="00C301F0"/>
    <w:rsid w:val="00C30CB9"/>
    <w:rsid w:val="00C31A2F"/>
    <w:rsid w:val="00C31E68"/>
    <w:rsid w:val="00C3234A"/>
    <w:rsid w:val="00C32367"/>
    <w:rsid w:val="00C33CF0"/>
    <w:rsid w:val="00C347E1"/>
    <w:rsid w:val="00C34FBF"/>
    <w:rsid w:val="00C350BA"/>
    <w:rsid w:val="00C373D7"/>
    <w:rsid w:val="00C374AD"/>
    <w:rsid w:val="00C375B4"/>
    <w:rsid w:val="00C37B3F"/>
    <w:rsid w:val="00C37E00"/>
    <w:rsid w:val="00C4084D"/>
    <w:rsid w:val="00C43E8F"/>
    <w:rsid w:val="00C441D5"/>
    <w:rsid w:val="00C44393"/>
    <w:rsid w:val="00C443BA"/>
    <w:rsid w:val="00C44873"/>
    <w:rsid w:val="00C44BD3"/>
    <w:rsid w:val="00C4573A"/>
    <w:rsid w:val="00C458B3"/>
    <w:rsid w:val="00C45A23"/>
    <w:rsid w:val="00C461C3"/>
    <w:rsid w:val="00C46447"/>
    <w:rsid w:val="00C4771B"/>
    <w:rsid w:val="00C50144"/>
    <w:rsid w:val="00C5067F"/>
    <w:rsid w:val="00C523F1"/>
    <w:rsid w:val="00C52AF6"/>
    <w:rsid w:val="00C53EBF"/>
    <w:rsid w:val="00C54766"/>
    <w:rsid w:val="00C548F2"/>
    <w:rsid w:val="00C55862"/>
    <w:rsid w:val="00C563EE"/>
    <w:rsid w:val="00C60A82"/>
    <w:rsid w:val="00C61A96"/>
    <w:rsid w:val="00C62ACD"/>
    <w:rsid w:val="00C62BE0"/>
    <w:rsid w:val="00C62CFB"/>
    <w:rsid w:val="00C634E3"/>
    <w:rsid w:val="00C641E4"/>
    <w:rsid w:val="00C663D8"/>
    <w:rsid w:val="00C66CE7"/>
    <w:rsid w:val="00C677E3"/>
    <w:rsid w:val="00C67BC1"/>
    <w:rsid w:val="00C67F77"/>
    <w:rsid w:val="00C7003F"/>
    <w:rsid w:val="00C72BF3"/>
    <w:rsid w:val="00C749FC"/>
    <w:rsid w:val="00C74AA3"/>
    <w:rsid w:val="00C74B59"/>
    <w:rsid w:val="00C76046"/>
    <w:rsid w:val="00C76070"/>
    <w:rsid w:val="00C7641A"/>
    <w:rsid w:val="00C7678D"/>
    <w:rsid w:val="00C76CA8"/>
    <w:rsid w:val="00C80912"/>
    <w:rsid w:val="00C80B9C"/>
    <w:rsid w:val="00C81DD2"/>
    <w:rsid w:val="00C821C7"/>
    <w:rsid w:val="00C834FD"/>
    <w:rsid w:val="00C83BBF"/>
    <w:rsid w:val="00C84675"/>
    <w:rsid w:val="00C855FC"/>
    <w:rsid w:val="00C873BE"/>
    <w:rsid w:val="00C9033E"/>
    <w:rsid w:val="00C90549"/>
    <w:rsid w:val="00C91576"/>
    <w:rsid w:val="00C923FD"/>
    <w:rsid w:val="00C9384D"/>
    <w:rsid w:val="00C94BFF"/>
    <w:rsid w:val="00CA12DE"/>
    <w:rsid w:val="00CA2934"/>
    <w:rsid w:val="00CA2B5D"/>
    <w:rsid w:val="00CA2F85"/>
    <w:rsid w:val="00CA4AED"/>
    <w:rsid w:val="00CA59F1"/>
    <w:rsid w:val="00CA7023"/>
    <w:rsid w:val="00CB00F1"/>
    <w:rsid w:val="00CB02DB"/>
    <w:rsid w:val="00CB198F"/>
    <w:rsid w:val="00CB1E72"/>
    <w:rsid w:val="00CB2E1F"/>
    <w:rsid w:val="00CB3386"/>
    <w:rsid w:val="00CB5106"/>
    <w:rsid w:val="00CB58AE"/>
    <w:rsid w:val="00CC0B82"/>
    <w:rsid w:val="00CC2654"/>
    <w:rsid w:val="00CC29EB"/>
    <w:rsid w:val="00CC2FCA"/>
    <w:rsid w:val="00CC4082"/>
    <w:rsid w:val="00CC4309"/>
    <w:rsid w:val="00CC4791"/>
    <w:rsid w:val="00CC5577"/>
    <w:rsid w:val="00CC59C6"/>
    <w:rsid w:val="00CC5F9A"/>
    <w:rsid w:val="00CC6DB6"/>
    <w:rsid w:val="00CD0121"/>
    <w:rsid w:val="00CD03A2"/>
    <w:rsid w:val="00CD0B16"/>
    <w:rsid w:val="00CD18C6"/>
    <w:rsid w:val="00CD1DEA"/>
    <w:rsid w:val="00CD2CF8"/>
    <w:rsid w:val="00CD2DCC"/>
    <w:rsid w:val="00CD45FC"/>
    <w:rsid w:val="00CD79FB"/>
    <w:rsid w:val="00CE02F0"/>
    <w:rsid w:val="00CE049E"/>
    <w:rsid w:val="00CE1B7A"/>
    <w:rsid w:val="00CE27BC"/>
    <w:rsid w:val="00CE28BB"/>
    <w:rsid w:val="00CE40D1"/>
    <w:rsid w:val="00CE4E84"/>
    <w:rsid w:val="00CE4F47"/>
    <w:rsid w:val="00CE5AD2"/>
    <w:rsid w:val="00CE5D93"/>
    <w:rsid w:val="00CE7316"/>
    <w:rsid w:val="00CF08E0"/>
    <w:rsid w:val="00CF0E43"/>
    <w:rsid w:val="00CF11E8"/>
    <w:rsid w:val="00CF18A6"/>
    <w:rsid w:val="00CF1A3C"/>
    <w:rsid w:val="00CF1AA9"/>
    <w:rsid w:val="00CF2EAB"/>
    <w:rsid w:val="00CF33B7"/>
    <w:rsid w:val="00CF390F"/>
    <w:rsid w:val="00CF4F94"/>
    <w:rsid w:val="00CF62B0"/>
    <w:rsid w:val="00CF67B4"/>
    <w:rsid w:val="00CF6FE3"/>
    <w:rsid w:val="00CF7691"/>
    <w:rsid w:val="00D01049"/>
    <w:rsid w:val="00D0269F"/>
    <w:rsid w:val="00D038D9"/>
    <w:rsid w:val="00D0398D"/>
    <w:rsid w:val="00D03EA7"/>
    <w:rsid w:val="00D045D4"/>
    <w:rsid w:val="00D04755"/>
    <w:rsid w:val="00D04C9D"/>
    <w:rsid w:val="00D053DA"/>
    <w:rsid w:val="00D0542D"/>
    <w:rsid w:val="00D0558D"/>
    <w:rsid w:val="00D05B28"/>
    <w:rsid w:val="00D05D8A"/>
    <w:rsid w:val="00D07BDE"/>
    <w:rsid w:val="00D07DDE"/>
    <w:rsid w:val="00D103B0"/>
    <w:rsid w:val="00D1156C"/>
    <w:rsid w:val="00D11A0D"/>
    <w:rsid w:val="00D1267D"/>
    <w:rsid w:val="00D12A09"/>
    <w:rsid w:val="00D132F4"/>
    <w:rsid w:val="00D13416"/>
    <w:rsid w:val="00D141A5"/>
    <w:rsid w:val="00D149A8"/>
    <w:rsid w:val="00D14AE1"/>
    <w:rsid w:val="00D15290"/>
    <w:rsid w:val="00D16288"/>
    <w:rsid w:val="00D16C8D"/>
    <w:rsid w:val="00D16FC5"/>
    <w:rsid w:val="00D1717A"/>
    <w:rsid w:val="00D17A24"/>
    <w:rsid w:val="00D17BCE"/>
    <w:rsid w:val="00D17F8B"/>
    <w:rsid w:val="00D2055B"/>
    <w:rsid w:val="00D21862"/>
    <w:rsid w:val="00D22E73"/>
    <w:rsid w:val="00D23DAE"/>
    <w:rsid w:val="00D2556D"/>
    <w:rsid w:val="00D2631A"/>
    <w:rsid w:val="00D27FC6"/>
    <w:rsid w:val="00D31231"/>
    <w:rsid w:val="00D32059"/>
    <w:rsid w:val="00D324AD"/>
    <w:rsid w:val="00D3310E"/>
    <w:rsid w:val="00D33444"/>
    <w:rsid w:val="00D33712"/>
    <w:rsid w:val="00D34053"/>
    <w:rsid w:val="00D3488C"/>
    <w:rsid w:val="00D34A4E"/>
    <w:rsid w:val="00D35A50"/>
    <w:rsid w:val="00D407FB"/>
    <w:rsid w:val="00D40FB4"/>
    <w:rsid w:val="00D432CA"/>
    <w:rsid w:val="00D43D29"/>
    <w:rsid w:val="00D442D1"/>
    <w:rsid w:val="00D4491D"/>
    <w:rsid w:val="00D44D7C"/>
    <w:rsid w:val="00D452E5"/>
    <w:rsid w:val="00D4715E"/>
    <w:rsid w:val="00D47443"/>
    <w:rsid w:val="00D53218"/>
    <w:rsid w:val="00D53241"/>
    <w:rsid w:val="00D5407B"/>
    <w:rsid w:val="00D555AE"/>
    <w:rsid w:val="00D5560E"/>
    <w:rsid w:val="00D559CB"/>
    <w:rsid w:val="00D55B01"/>
    <w:rsid w:val="00D56CFF"/>
    <w:rsid w:val="00D60431"/>
    <w:rsid w:val="00D60504"/>
    <w:rsid w:val="00D62396"/>
    <w:rsid w:val="00D643FF"/>
    <w:rsid w:val="00D64F39"/>
    <w:rsid w:val="00D6569F"/>
    <w:rsid w:val="00D659EF"/>
    <w:rsid w:val="00D663D4"/>
    <w:rsid w:val="00D66800"/>
    <w:rsid w:val="00D669C8"/>
    <w:rsid w:val="00D67231"/>
    <w:rsid w:val="00D673E8"/>
    <w:rsid w:val="00D67AC3"/>
    <w:rsid w:val="00D70C21"/>
    <w:rsid w:val="00D713A0"/>
    <w:rsid w:val="00D71456"/>
    <w:rsid w:val="00D71579"/>
    <w:rsid w:val="00D7280F"/>
    <w:rsid w:val="00D73680"/>
    <w:rsid w:val="00D73B65"/>
    <w:rsid w:val="00D74906"/>
    <w:rsid w:val="00D74FEB"/>
    <w:rsid w:val="00D7516B"/>
    <w:rsid w:val="00D7577D"/>
    <w:rsid w:val="00D75D2B"/>
    <w:rsid w:val="00D76B85"/>
    <w:rsid w:val="00D76E8C"/>
    <w:rsid w:val="00D76EDC"/>
    <w:rsid w:val="00D772BA"/>
    <w:rsid w:val="00D7745D"/>
    <w:rsid w:val="00D81204"/>
    <w:rsid w:val="00D82ADF"/>
    <w:rsid w:val="00D83A2B"/>
    <w:rsid w:val="00D83FA6"/>
    <w:rsid w:val="00D84521"/>
    <w:rsid w:val="00D84687"/>
    <w:rsid w:val="00D86C6C"/>
    <w:rsid w:val="00D8702F"/>
    <w:rsid w:val="00D873F5"/>
    <w:rsid w:val="00D87C32"/>
    <w:rsid w:val="00D9050E"/>
    <w:rsid w:val="00D92E4B"/>
    <w:rsid w:val="00D938A7"/>
    <w:rsid w:val="00D94F90"/>
    <w:rsid w:val="00D956DE"/>
    <w:rsid w:val="00D95EEC"/>
    <w:rsid w:val="00D96045"/>
    <w:rsid w:val="00D962B1"/>
    <w:rsid w:val="00D97AC4"/>
    <w:rsid w:val="00D97DC1"/>
    <w:rsid w:val="00DA02A2"/>
    <w:rsid w:val="00DA0314"/>
    <w:rsid w:val="00DA041E"/>
    <w:rsid w:val="00DA05DD"/>
    <w:rsid w:val="00DA1DBB"/>
    <w:rsid w:val="00DA2D47"/>
    <w:rsid w:val="00DA3DF5"/>
    <w:rsid w:val="00DA55B8"/>
    <w:rsid w:val="00DA588A"/>
    <w:rsid w:val="00DA5D67"/>
    <w:rsid w:val="00DA6DB1"/>
    <w:rsid w:val="00DA6E5B"/>
    <w:rsid w:val="00DA738F"/>
    <w:rsid w:val="00DA7E6A"/>
    <w:rsid w:val="00DB05C5"/>
    <w:rsid w:val="00DB0CBA"/>
    <w:rsid w:val="00DB0E0D"/>
    <w:rsid w:val="00DB2D8B"/>
    <w:rsid w:val="00DB4149"/>
    <w:rsid w:val="00DB42E9"/>
    <w:rsid w:val="00DB461C"/>
    <w:rsid w:val="00DB5FB1"/>
    <w:rsid w:val="00DB63F1"/>
    <w:rsid w:val="00DB684E"/>
    <w:rsid w:val="00DB6A1A"/>
    <w:rsid w:val="00DB7AE0"/>
    <w:rsid w:val="00DC079E"/>
    <w:rsid w:val="00DC0BB2"/>
    <w:rsid w:val="00DC19F4"/>
    <w:rsid w:val="00DC1A2F"/>
    <w:rsid w:val="00DC2D00"/>
    <w:rsid w:val="00DC4441"/>
    <w:rsid w:val="00DC4940"/>
    <w:rsid w:val="00DC4AEB"/>
    <w:rsid w:val="00DC55BF"/>
    <w:rsid w:val="00DC6023"/>
    <w:rsid w:val="00DD1203"/>
    <w:rsid w:val="00DD18FA"/>
    <w:rsid w:val="00DD19D6"/>
    <w:rsid w:val="00DD2592"/>
    <w:rsid w:val="00DD393B"/>
    <w:rsid w:val="00DD40DD"/>
    <w:rsid w:val="00DD4E9C"/>
    <w:rsid w:val="00DD56F6"/>
    <w:rsid w:val="00DD5F91"/>
    <w:rsid w:val="00DD60DB"/>
    <w:rsid w:val="00DD6129"/>
    <w:rsid w:val="00DD63F8"/>
    <w:rsid w:val="00DD65FC"/>
    <w:rsid w:val="00DD6921"/>
    <w:rsid w:val="00DD71E8"/>
    <w:rsid w:val="00DE0B9A"/>
    <w:rsid w:val="00DE0D1B"/>
    <w:rsid w:val="00DE121A"/>
    <w:rsid w:val="00DE1F44"/>
    <w:rsid w:val="00DE359F"/>
    <w:rsid w:val="00DE35AB"/>
    <w:rsid w:val="00DE3686"/>
    <w:rsid w:val="00DE4F29"/>
    <w:rsid w:val="00DE5500"/>
    <w:rsid w:val="00DE56CF"/>
    <w:rsid w:val="00DE5D28"/>
    <w:rsid w:val="00DE62DC"/>
    <w:rsid w:val="00DE63C6"/>
    <w:rsid w:val="00DE6651"/>
    <w:rsid w:val="00DE795D"/>
    <w:rsid w:val="00DE7D36"/>
    <w:rsid w:val="00DF161B"/>
    <w:rsid w:val="00DF1762"/>
    <w:rsid w:val="00DF1F7E"/>
    <w:rsid w:val="00DF1FEE"/>
    <w:rsid w:val="00DF22E6"/>
    <w:rsid w:val="00DF3196"/>
    <w:rsid w:val="00DF3B05"/>
    <w:rsid w:val="00DF5464"/>
    <w:rsid w:val="00DF5802"/>
    <w:rsid w:val="00DF6486"/>
    <w:rsid w:val="00DF65E1"/>
    <w:rsid w:val="00DF7152"/>
    <w:rsid w:val="00DF759F"/>
    <w:rsid w:val="00DF7702"/>
    <w:rsid w:val="00E004BF"/>
    <w:rsid w:val="00E0135B"/>
    <w:rsid w:val="00E0205E"/>
    <w:rsid w:val="00E02410"/>
    <w:rsid w:val="00E02F0D"/>
    <w:rsid w:val="00E03367"/>
    <w:rsid w:val="00E03A71"/>
    <w:rsid w:val="00E04B41"/>
    <w:rsid w:val="00E06F77"/>
    <w:rsid w:val="00E0774E"/>
    <w:rsid w:val="00E1057E"/>
    <w:rsid w:val="00E106FF"/>
    <w:rsid w:val="00E112DD"/>
    <w:rsid w:val="00E11C98"/>
    <w:rsid w:val="00E11E6E"/>
    <w:rsid w:val="00E1451A"/>
    <w:rsid w:val="00E14922"/>
    <w:rsid w:val="00E14AF4"/>
    <w:rsid w:val="00E14F37"/>
    <w:rsid w:val="00E15AA4"/>
    <w:rsid w:val="00E15FF8"/>
    <w:rsid w:val="00E165EC"/>
    <w:rsid w:val="00E16A17"/>
    <w:rsid w:val="00E16B01"/>
    <w:rsid w:val="00E16D4F"/>
    <w:rsid w:val="00E200B2"/>
    <w:rsid w:val="00E2073C"/>
    <w:rsid w:val="00E2130B"/>
    <w:rsid w:val="00E2186E"/>
    <w:rsid w:val="00E21DD5"/>
    <w:rsid w:val="00E228CA"/>
    <w:rsid w:val="00E23303"/>
    <w:rsid w:val="00E23C33"/>
    <w:rsid w:val="00E24618"/>
    <w:rsid w:val="00E2732C"/>
    <w:rsid w:val="00E27DF7"/>
    <w:rsid w:val="00E30695"/>
    <w:rsid w:val="00E3251E"/>
    <w:rsid w:val="00E32531"/>
    <w:rsid w:val="00E336FD"/>
    <w:rsid w:val="00E33878"/>
    <w:rsid w:val="00E3388A"/>
    <w:rsid w:val="00E3394E"/>
    <w:rsid w:val="00E33ECC"/>
    <w:rsid w:val="00E3471A"/>
    <w:rsid w:val="00E34836"/>
    <w:rsid w:val="00E34CE9"/>
    <w:rsid w:val="00E35930"/>
    <w:rsid w:val="00E35EF4"/>
    <w:rsid w:val="00E3634E"/>
    <w:rsid w:val="00E40D86"/>
    <w:rsid w:val="00E41087"/>
    <w:rsid w:val="00E41517"/>
    <w:rsid w:val="00E41C3C"/>
    <w:rsid w:val="00E41D19"/>
    <w:rsid w:val="00E42977"/>
    <w:rsid w:val="00E429FA"/>
    <w:rsid w:val="00E43AA8"/>
    <w:rsid w:val="00E43F39"/>
    <w:rsid w:val="00E44EA4"/>
    <w:rsid w:val="00E4543A"/>
    <w:rsid w:val="00E45C1D"/>
    <w:rsid w:val="00E46040"/>
    <w:rsid w:val="00E468B0"/>
    <w:rsid w:val="00E46A1C"/>
    <w:rsid w:val="00E46F15"/>
    <w:rsid w:val="00E47FAA"/>
    <w:rsid w:val="00E50C8F"/>
    <w:rsid w:val="00E50DC1"/>
    <w:rsid w:val="00E52AD8"/>
    <w:rsid w:val="00E53E1A"/>
    <w:rsid w:val="00E54983"/>
    <w:rsid w:val="00E5551F"/>
    <w:rsid w:val="00E55557"/>
    <w:rsid w:val="00E5559D"/>
    <w:rsid w:val="00E564D3"/>
    <w:rsid w:val="00E5737E"/>
    <w:rsid w:val="00E607D1"/>
    <w:rsid w:val="00E61F02"/>
    <w:rsid w:val="00E62079"/>
    <w:rsid w:val="00E6230B"/>
    <w:rsid w:val="00E643F8"/>
    <w:rsid w:val="00E6550F"/>
    <w:rsid w:val="00E66459"/>
    <w:rsid w:val="00E66934"/>
    <w:rsid w:val="00E71B79"/>
    <w:rsid w:val="00E72050"/>
    <w:rsid w:val="00E724B2"/>
    <w:rsid w:val="00E750A9"/>
    <w:rsid w:val="00E75C98"/>
    <w:rsid w:val="00E761D7"/>
    <w:rsid w:val="00E76C65"/>
    <w:rsid w:val="00E77204"/>
    <w:rsid w:val="00E7728E"/>
    <w:rsid w:val="00E80C4E"/>
    <w:rsid w:val="00E81BDB"/>
    <w:rsid w:val="00E83648"/>
    <w:rsid w:val="00E83BD8"/>
    <w:rsid w:val="00E83D17"/>
    <w:rsid w:val="00E83EBD"/>
    <w:rsid w:val="00E8468D"/>
    <w:rsid w:val="00E84EA7"/>
    <w:rsid w:val="00E857B3"/>
    <w:rsid w:val="00E86016"/>
    <w:rsid w:val="00E86E40"/>
    <w:rsid w:val="00E87E65"/>
    <w:rsid w:val="00E9071F"/>
    <w:rsid w:val="00E908E6"/>
    <w:rsid w:val="00E90C5F"/>
    <w:rsid w:val="00E90DDC"/>
    <w:rsid w:val="00E90DF0"/>
    <w:rsid w:val="00E9190F"/>
    <w:rsid w:val="00E922D7"/>
    <w:rsid w:val="00E926DF"/>
    <w:rsid w:val="00E92804"/>
    <w:rsid w:val="00E93476"/>
    <w:rsid w:val="00E935D8"/>
    <w:rsid w:val="00E942EF"/>
    <w:rsid w:val="00E95264"/>
    <w:rsid w:val="00E96679"/>
    <w:rsid w:val="00E97958"/>
    <w:rsid w:val="00EA003A"/>
    <w:rsid w:val="00EA21F4"/>
    <w:rsid w:val="00EA2C83"/>
    <w:rsid w:val="00EA3CA4"/>
    <w:rsid w:val="00EA4053"/>
    <w:rsid w:val="00EA475D"/>
    <w:rsid w:val="00EA7050"/>
    <w:rsid w:val="00EB0434"/>
    <w:rsid w:val="00EB06C6"/>
    <w:rsid w:val="00EB1E97"/>
    <w:rsid w:val="00EB3304"/>
    <w:rsid w:val="00EB385B"/>
    <w:rsid w:val="00EB4CBF"/>
    <w:rsid w:val="00EB60ED"/>
    <w:rsid w:val="00EB61EF"/>
    <w:rsid w:val="00EB65C2"/>
    <w:rsid w:val="00EB7327"/>
    <w:rsid w:val="00EB7AF3"/>
    <w:rsid w:val="00EB7F1A"/>
    <w:rsid w:val="00EC0618"/>
    <w:rsid w:val="00EC213E"/>
    <w:rsid w:val="00EC3CB9"/>
    <w:rsid w:val="00EC6CE5"/>
    <w:rsid w:val="00EC7243"/>
    <w:rsid w:val="00EC7B0C"/>
    <w:rsid w:val="00ED1027"/>
    <w:rsid w:val="00ED1F88"/>
    <w:rsid w:val="00ED2DE8"/>
    <w:rsid w:val="00ED3612"/>
    <w:rsid w:val="00ED3644"/>
    <w:rsid w:val="00ED456C"/>
    <w:rsid w:val="00ED46AC"/>
    <w:rsid w:val="00ED4FF6"/>
    <w:rsid w:val="00ED7CFA"/>
    <w:rsid w:val="00EE0230"/>
    <w:rsid w:val="00EE063F"/>
    <w:rsid w:val="00EE0E47"/>
    <w:rsid w:val="00EE2101"/>
    <w:rsid w:val="00EE3607"/>
    <w:rsid w:val="00EE3F8D"/>
    <w:rsid w:val="00EE6E11"/>
    <w:rsid w:val="00EE7190"/>
    <w:rsid w:val="00EE77DA"/>
    <w:rsid w:val="00EF0C7B"/>
    <w:rsid w:val="00EF15BC"/>
    <w:rsid w:val="00EF279F"/>
    <w:rsid w:val="00EF31BE"/>
    <w:rsid w:val="00EF3884"/>
    <w:rsid w:val="00EF4259"/>
    <w:rsid w:val="00EF4302"/>
    <w:rsid w:val="00EF4C68"/>
    <w:rsid w:val="00EF58D2"/>
    <w:rsid w:val="00EF5E9E"/>
    <w:rsid w:val="00F0147D"/>
    <w:rsid w:val="00F030FB"/>
    <w:rsid w:val="00F0328D"/>
    <w:rsid w:val="00F033A6"/>
    <w:rsid w:val="00F03802"/>
    <w:rsid w:val="00F0409B"/>
    <w:rsid w:val="00F0686C"/>
    <w:rsid w:val="00F073AD"/>
    <w:rsid w:val="00F07C66"/>
    <w:rsid w:val="00F07FE9"/>
    <w:rsid w:val="00F100FC"/>
    <w:rsid w:val="00F11860"/>
    <w:rsid w:val="00F11C2A"/>
    <w:rsid w:val="00F12477"/>
    <w:rsid w:val="00F1265F"/>
    <w:rsid w:val="00F13578"/>
    <w:rsid w:val="00F13752"/>
    <w:rsid w:val="00F13E8F"/>
    <w:rsid w:val="00F14FEE"/>
    <w:rsid w:val="00F152E9"/>
    <w:rsid w:val="00F156EC"/>
    <w:rsid w:val="00F157F5"/>
    <w:rsid w:val="00F15F2A"/>
    <w:rsid w:val="00F171D0"/>
    <w:rsid w:val="00F17DD4"/>
    <w:rsid w:val="00F21465"/>
    <w:rsid w:val="00F2279F"/>
    <w:rsid w:val="00F22BC1"/>
    <w:rsid w:val="00F253F0"/>
    <w:rsid w:val="00F25D08"/>
    <w:rsid w:val="00F264B3"/>
    <w:rsid w:val="00F26751"/>
    <w:rsid w:val="00F26910"/>
    <w:rsid w:val="00F26A8C"/>
    <w:rsid w:val="00F27CEC"/>
    <w:rsid w:val="00F305A1"/>
    <w:rsid w:val="00F31168"/>
    <w:rsid w:val="00F3185E"/>
    <w:rsid w:val="00F32328"/>
    <w:rsid w:val="00F33358"/>
    <w:rsid w:val="00F33F39"/>
    <w:rsid w:val="00F343B8"/>
    <w:rsid w:val="00F34F23"/>
    <w:rsid w:val="00F36526"/>
    <w:rsid w:val="00F376C5"/>
    <w:rsid w:val="00F37810"/>
    <w:rsid w:val="00F410B7"/>
    <w:rsid w:val="00F4235B"/>
    <w:rsid w:val="00F4295F"/>
    <w:rsid w:val="00F44570"/>
    <w:rsid w:val="00F46A95"/>
    <w:rsid w:val="00F51932"/>
    <w:rsid w:val="00F52059"/>
    <w:rsid w:val="00F52742"/>
    <w:rsid w:val="00F5373E"/>
    <w:rsid w:val="00F53A23"/>
    <w:rsid w:val="00F53CBF"/>
    <w:rsid w:val="00F540E8"/>
    <w:rsid w:val="00F54927"/>
    <w:rsid w:val="00F54FC4"/>
    <w:rsid w:val="00F56680"/>
    <w:rsid w:val="00F572A4"/>
    <w:rsid w:val="00F57DF7"/>
    <w:rsid w:val="00F57E20"/>
    <w:rsid w:val="00F6098A"/>
    <w:rsid w:val="00F60AA6"/>
    <w:rsid w:val="00F60DC3"/>
    <w:rsid w:val="00F62275"/>
    <w:rsid w:val="00F64F8C"/>
    <w:rsid w:val="00F650F5"/>
    <w:rsid w:val="00F66496"/>
    <w:rsid w:val="00F66E66"/>
    <w:rsid w:val="00F67CB2"/>
    <w:rsid w:val="00F7019F"/>
    <w:rsid w:val="00F70F62"/>
    <w:rsid w:val="00F72532"/>
    <w:rsid w:val="00F74520"/>
    <w:rsid w:val="00F749C4"/>
    <w:rsid w:val="00F7587E"/>
    <w:rsid w:val="00F75992"/>
    <w:rsid w:val="00F76349"/>
    <w:rsid w:val="00F7659A"/>
    <w:rsid w:val="00F772A3"/>
    <w:rsid w:val="00F805FF"/>
    <w:rsid w:val="00F813B0"/>
    <w:rsid w:val="00F821B0"/>
    <w:rsid w:val="00F82887"/>
    <w:rsid w:val="00F85BEE"/>
    <w:rsid w:val="00F874C6"/>
    <w:rsid w:val="00F876AF"/>
    <w:rsid w:val="00F87C85"/>
    <w:rsid w:val="00F90012"/>
    <w:rsid w:val="00F900A7"/>
    <w:rsid w:val="00F90D4B"/>
    <w:rsid w:val="00F90EBD"/>
    <w:rsid w:val="00F91276"/>
    <w:rsid w:val="00F92174"/>
    <w:rsid w:val="00F92CB9"/>
    <w:rsid w:val="00F92DD3"/>
    <w:rsid w:val="00F92E8C"/>
    <w:rsid w:val="00F92F01"/>
    <w:rsid w:val="00F935BB"/>
    <w:rsid w:val="00F94849"/>
    <w:rsid w:val="00F9538D"/>
    <w:rsid w:val="00F954C7"/>
    <w:rsid w:val="00F96C42"/>
    <w:rsid w:val="00FA08C7"/>
    <w:rsid w:val="00FA1526"/>
    <w:rsid w:val="00FA2A8C"/>
    <w:rsid w:val="00FA3432"/>
    <w:rsid w:val="00FA3495"/>
    <w:rsid w:val="00FA4451"/>
    <w:rsid w:val="00FA5AD8"/>
    <w:rsid w:val="00FA5DCA"/>
    <w:rsid w:val="00FA62A8"/>
    <w:rsid w:val="00FA64B3"/>
    <w:rsid w:val="00FA6845"/>
    <w:rsid w:val="00FA687D"/>
    <w:rsid w:val="00FB2394"/>
    <w:rsid w:val="00FB2744"/>
    <w:rsid w:val="00FB27CC"/>
    <w:rsid w:val="00FB3A34"/>
    <w:rsid w:val="00FB3D9A"/>
    <w:rsid w:val="00FB4779"/>
    <w:rsid w:val="00FB5996"/>
    <w:rsid w:val="00FB62B0"/>
    <w:rsid w:val="00FB6AC0"/>
    <w:rsid w:val="00FB6BD4"/>
    <w:rsid w:val="00FB6C2B"/>
    <w:rsid w:val="00FB7356"/>
    <w:rsid w:val="00FB7E70"/>
    <w:rsid w:val="00FB7F60"/>
    <w:rsid w:val="00FC00C4"/>
    <w:rsid w:val="00FC0782"/>
    <w:rsid w:val="00FC083D"/>
    <w:rsid w:val="00FC0965"/>
    <w:rsid w:val="00FC096E"/>
    <w:rsid w:val="00FC1D03"/>
    <w:rsid w:val="00FC23E9"/>
    <w:rsid w:val="00FC260F"/>
    <w:rsid w:val="00FC3D4D"/>
    <w:rsid w:val="00FC5AF6"/>
    <w:rsid w:val="00FC5B0A"/>
    <w:rsid w:val="00FC610B"/>
    <w:rsid w:val="00FC6286"/>
    <w:rsid w:val="00FD0AFD"/>
    <w:rsid w:val="00FD0E1B"/>
    <w:rsid w:val="00FD16DF"/>
    <w:rsid w:val="00FD19E0"/>
    <w:rsid w:val="00FD1C95"/>
    <w:rsid w:val="00FD4BA1"/>
    <w:rsid w:val="00FD6A46"/>
    <w:rsid w:val="00FD6CFB"/>
    <w:rsid w:val="00FD6E17"/>
    <w:rsid w:val="00FD6FEC"/>
    <w:rsid w:val="00FD747F"/>
    <w:rsid w:val="00FD783C"/>
    <w:rsid w:val="00FE1136"/>
    <w:rsid w:val="00FE1653"/>
    <w:rsid w:val="00FE174D"/>
    <w:rsid w:val="00FE1B4B"/>
    <w:rsid w:val="00FE1D71"/>
    <w:rsid w:val="00FE1FDB"/>
    <w:rsid w:val="00FE2622"/>
    <w:rsid w:val="00FE2DB5"/>
    <w:rsid w:val="00FE4D2D"/>
    <w:rsid w:val="00FE4EDF"/>
    <w:rsid w:val="00FE6C0A"/>
    <w:rsid w:val="00FE6C2E"/>
    <w:rsid w:val="00FE6C68"/>
    <w:rsid w:val="00FE6E4A"/>
    <w:rsid w:val="00FF03E1"/>
    <w:rsid w:val="00FF16DF"/>
    <w:rsid w:val="00FF1793"/>
    <w:rsid w:val="00FF3038"/>
    <w:rsid w:val="00FF4007"/>
    <w:rsid w:val="00FF4467"/>
    <w:rsid w:val="00FF4BB6"/>
    <w:rsid w:val="00FF5050"/>
    <w:rsid w:val="00FF56AF"/>
    <w:rsid w:val="00FF5E4C"/>
    <w:rsid w:val="00FF5EB2"/>
    <w:rsid w:val="00FF65AD"/>
    <w:rsid w:val="00FF7EBC"/>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header" w:unhideWhenUsed="1"/>
    <w:lsdException w:name="footer" w:unhideWhenUsed="1"/>
    <w:lsdException w:name="caption" w:uiPriority="35" w:unhideWhenUsed="1" w:qFormat="1"/>
    <w:lsdException w:name="table of figures" w:unhideWhenUsed="1"/>
    <w:lsdException w:name="List Bullet" w:uiPriority="0"/>
    <w:lsdException w:name="List Number" w:semiHidden="0"/>
    <w:lsdException w:name="List Number 2" w:semiHidden="0"/>
    <w:lsdException w:name="Title" w:semiHidden="0" w:uiPriority="10" w:qFormat="1"/>
    <w:lsdException w:name="Default Paragraph Font" w:uiPriority="1" w:unhideWhenUsed="1"/>
    <w:lsdException w:name="Body Text" w:uiPriority="0" w:qFormat="1"/>
    <w:lsdException w:name="Subtitle" w:semiHidden="0" w:uiPriority="11" w:qFormat="1"/>
    <w:lsdException w:name="Hyperlink" w:unhideWhenUsed="1"/>
    <w:lsdException w:name="Strong" w:semiHidden="0" w:uiPriority="22" w:qFormat="1"/>
    <w:lsdException w:name="Emphasis" w:semiHidden="0" w:uiPriority="20" w:qFormat="1"/>
    <w:lsdException w:name="Document Map" w:unhideWhenUsed="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uiPriority="33" w:qFormat="1"/>
    <w:lsdException w:name="Bibliography" w:uiPriority="37"/>
    <w:lsdException w:name="TOC Heading" w:uiPriority="39" w:unhideWhenUsed="1" w:qFormat="1"/>
  </w:latentStyles>
  <w:style w:type="paragraph" w:default="1" w:styleId="Normal">
    <w:name w:val="Normal"/>
    <w:qFormat/>
    <w:rsid w:val="00C350BA"/>
    <w:pPr>
      <w:spacing w:after="240"/>
      <w:jc w:val="both"/>
    </w:pPr>
    <w:rPr>
      <w:rFonts w:ascii="Arial" w:hAnsi="Arial" w:cs="Arial"/>
      <w:sz w:val="20"/>
      <w:szCs w:val="20"/>
      <w:lang w:val="en-GB"/>
    </w:rPr>
  </w:style>
  <w:style w:type="paragraph" w:styleId="Heading1">
    <w:name w:val="heading 1"/>
    <w:basedOn w:val="Normal"/>
    <w:next w:val="Normal"/>
    <w:link w:val="Heading1Char"/>
    <w:autoRedefine/>
    <w:uiPriority w:val="9"/>
    <w:qFormat/>
    <w:rsid w:val="009A1986"/>
    <w:pPr>
      <w:keepNext/>
      <w:keepLines/>
      <w:pageBreakBefore/>
      <w:numPr>
        <w:numId w:val="14"/>
      </w:numPr>
      <w:spacing w:after="800" w:line="240" w:lineRule="auto"/>
      <w:jc w:val="left"/>
      <w:outlineLvl w:val="0"/>
    </w:pPr>
    <w:rPr>
      <w:rFonts w:asciiTheme="majorHAnsi" w:eastAsiaTheme="majorEastAsia" w:hAnsiTheme="majorHAnsi" w:cstheme="majorHAnsi"/>
      <w:b/>
      <w:bCs/>
      <w:color w:val="7AB800" w:themeColor="accent1"/>
      <w:sz w:val="52"/>
      <w:szCs w:val="36"/>
    </w:rPr>
  </w:style>
  <w:style w:type="paragraph" w:styleId="Heading2">
    <w:name w:val="heading 2"/>
    <w:basedOn w:val="Normal"/>
    <w:next w:val="Normal"/>
    <w:link w:val="Heading2Char1"/>
    <w:uiPriority w:val="9"/>
    <w:unhideWhenUsed/>
    <w:qFormat/>
    <w:rsid w:val="009245AE"/>
    <w:pPr>
      <w:keepNext/>
      <w:keepLines/>
      <w:numPr>
        <w:ilvl w:val="1"/>
        <w:numId w:val="15"/>
      </w:numPr>
      <w:spacing w:before="360" w:after="360"/>
      <w:outlineLvl w:val="1"/>
    </w:pPr>
    <w:rPr>
      <w:rFonts w:asciiTheme="majorHAnsi" w:eastAsiaTheme="majorEastAsia" w:hAnsiTheme="majorHAnsi" w:cstheme="majorBidi"/>
      <w:b/>
      <w:bCs/>
      <w:color w:val="353D30" w:themeColor="text1"/>
      <w:sz w:val="36"/>
      <w:szCs w:val="26"/>
    </w:rPr>
  </w:style>
  <w:style w:type="paragraph" w:styleId="Heading3">
    <w:name w:val="heading 3"/>
    <w:basedOn w:val="Normal"/>
    <w:next w:val="Normal"/>
    <w:link w:val="Heading3Char"/>
    <w:autoRedefine/>
    <w:uiPriority w:val="9"/>
    <w:qFormat/>
    <w:rsid w:val="00EF4C68"/>
    <w:pPr>
      <w:keepNext/>
      <w:keepLines/>
      <w:numPr>
        <w:ilvl w:val="2"/>
        <w:numId w:val="15"/>
      </w:numPr>
      <w:spacing w:before="170" w:after="160"/>
      <w:outlineLvl w:val="2"/>
    </w:pPr>
    <w:rPr>
      <w:rFonts w:asciiTheme="majorHAnsi" w:hAnsiTheme="majorHAnsi" w:cstheme="majorHAnsi"/>
      <w:b/>
      <w:sz w:val="28"/>
      <w:szCs w:val="22"/>
    </w:rPr>
  </w:style>
  <w:style w:type="paragraph" w:styleId="Heading4">
    <w:name w:val="heading 4"/>
    <w:basedOn w:val="Heading3"/>
    <w:next w:val="Normal"/>
    <w:link w:val="Heading4Char"/>
    <w:uiPriority w:val="9"/>
    <w:qFormat/>
    <w:rsid w:val="00166B5A"/>
    <w:pPr>
      <w:numPr>
        <w:ilvl w:val="3"/>
        <w:numId w:val="12"/>
      </w:numPr>
      <w:outlineLvl w:val="3"/>
    </w:pPr>
    <w:rPr>
      <w:color w:val="353D30" w:themeColor="text1"/>
    </w:rPr>
  </w:style>
  <w:style w:type="paragraph" w:styleId="Heading5">
    <w:name w:val="heading 5"/>
    <w:basedOn w:val="Normal"/>
    <w:next w:val="Normal"/>
    <w:link w:val="Heading5Char"/>
    <w:uiPriority w:val="9"/>
    <w:qFormat/>
    <w:rsid w:val="00115F9C"/>
    <w:pPr>
      <w:keepNext/>
      <w:keepLines/>
      <w:numPr>
        <w:ilvl w:val="4"/>
        <w:numId w:val="12"/>
      </w:numPr>
      <w:spacing w:before="200" w:after="0"/>
      <w:outlineLvl w:val="4"/>
    </w:pPr>
    <w:rPr>
      <w:rFonts w:asciiTheme="majorHAnsi" w:eastAsiaTheme="majorEastAsia" w:hAnsiTheme="majorHAnsi" w:cstheme="majorBidi"/>
      <w:b/>
      <w:iCs/>
      <w:color w:val="7AB800" w:themeColor="accent1"/>
      <w:szCs w:val="22"/>
    </w:rPr>
  </w:style>
  <w:style w:type="paragraph" w:styleId="Heading6">
    <w:name w:val="heading 6"/>
    <w:aliases w:val="h6,ICS in header,Bullet (Single Lines),(A),(I),Legal Level 1., not Kinhill"/>
    <w:basedOn w:val="Heading8"/>
    <w:next w:val="Normal"/>
    <w:link w:val="Heading6Char"/>
    <w:qFormat/>
    <w:rsid w:val="00600C65"/>
    <w:pPr>
      <w:numPr>
        <w:ilvl w:val="5"/>
      </w:numPr>
      <w:outlineLvl w:val="5"/>
    </w:pPr>
  </w:style>
  <w:style w:type="paragraph" w:styleId="Heading7">
    <w:name w:val="heading 7"/>
    <w:aliases w:val="Legal Level 1.1.,not Kinhill,not Kinhill1"/>
    <w:basedOn w:val="Normal"/>
    <w:next w:val="Normal"/>
    <w:link w:val="Heading7Char"/>
    <w:qFormat/>
    <w:rsid w:val="00600C65"/>
    <w:pPr>
      <w:keepNext/>
      <w:keepLines/>
      <w:numPr>
        <w:ilvl w:val="6"/>
        <w:numId w:val="12"/>
      </w:numPr>
      <w:spacing w:before="200" w:after="0"/>
      <w:outlineLvl w:val="6"/>
    </w:pPr>
    <w:rPr>
      <w:rFonts w:asciiTheme="majorHAnsi" w:eastAsiaTheme="majorEastAsia" w:hAnsiTheme="majorHAnsi" w:cstheme="majorBidi"/>
      <w:b/>
      <w:iCs/>
      <w:color w:val="7AB800" w:themeColor="accent1"/>
      <w:szCs w:val="22"/>
    </w:rPr>
  </w:style>
  <w:style w:type="paragraph" w:styleId="Heading8">
    <w:name w:val="heading 8"/>
    <w:aliases w:val="Legal Level 1.1.1."/>
    <w:basedOn w:val="Normal"/>
    <w:next w:val="Normal"/>
    <w:link w:val="Heading8Char"/>
    <w:semiHidden/>
    <w:qFormat/>
    <w:rsid w:val="00600C65"/>
    <w:pPr>
      <w:keepNext/>
      <w:keepLines/>
      <w:numPr>
        <w:ilvl w:val="7"/>
        <w:numId w:val="12"/>
      </w:numPr>
      <w:spacing w:before="200" w:after="0"/>
      <w:outlineLvl w:val="7"/>
    </w:pPr>
    <w:rPr>
      <w:rFonts w:asciiTheme="majorHAnsi" w:eastAsiaTheme="majorEastAsia" w:hAnsiTheme="majorHAnsi" w:cstheme="majorBidi"/>
      <w:color w:val="7AB800" w:themeColor="accent1"/>
    </w:rPr>
  </w:style>
  <w:style w:type="paragraph" w:styleId="Heading9">
    <w:name w:val="heading 9"/>
    <w:aliases w:val="Legal Level 1.1.1.1."/>
    <w:basedOn w:val="Normal"/>
    <w:next w:val="Normal"/>
    <w:link w:val="Heading9Char"/>
    <w:semiHidden/>
    <w:qFormat/>
    <w:rsid w:val="00600C65"/>
    <w:pPr>
      <w:keepNext/>
      <w:keepLines/>
      <w:numPr>
        <w:ilvl w:val="8"/>
        <w:numId w:val="12"/>
      </w:numPr>
      <w:spacing w:before="200" w:after="0"/>
      <w:outlineLvl w:val="8"/>
    </w:pPr>
    <w:rPr>
      <w:rFonts w:asciiTheme="majorHAnsi" w:eastAsiaTheme="majorEastAsia" w:hAnsiTheme="majorHAnsi" w:cstheme="majorBidi"/>
      <w:iCs/>
      <w:color w:val="009FD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986"/>
    <w:rPr>
      <w:rFonts w:asciiTheme="majorHAnsi" w:eastAsiaTheme="majorEastAsia" w:hAnsiTheme="majorHAnsi" w:cstheme="majorHAnsi"/>
      <w:b/>
      <w:bCs/>
      <w:color w:val="7AB800" w:themeColor="accent1"/>
      <w:sz w:val="52"/>
      <w:szCs w:val="36"/>
      <w:lang w:val="en-GB"/>
    </w:rPr>
  </w:style>
  <w:style w:type="character" w:customStyle="1" w:styleId="Heading2Char">
    <w:name w:val="Heading 2 Char"/>
    <w:basedOn w:val="DefaultParagraphFont"/>
    <w:uiPriority w:val="9"/>
    <w:rsid w:val="00E21DD5"/>
    <w:rPr>
      <w:rFonts w:asciiTheme="majorHAnsi" w:eastAsiaTheme="majorEastAsia" w:hAnsiTheme="majorHAnsi" w:cs="Arial"/>
      <w:bCs/>
      <w:color w:val="353D30" w:themeColor="accent2"/>
      <w:sz w:val="32"/>
      <w:szCs w:val="24"/>
      <w:lang w:val="en-GB"/>
    </w:rPr>
  </w:style>
  <w:style w:type="character" w:customStyle="1" w:styleId="Heading3Char">
    <w:name w:val="Heading 3 Char"/>
    <w:basedOn w:val="DefaultParagraphFont"/>
    <w:link w:val="Heading3"/>
    <w:uiPriority w:val="9"/>
    <w:rsid w:val="00EF4C68"/>
    <w:rPr>
      <w:rFonts w:asciiTheme="majorHAnsi" w:hAnsiTheme="majorHAnsi" w:cstheme="majorHAnsi"/>
      <w:b/>
      <w:sz w:val="28"/>
      <w:lang w:val="en-GB"/>
    </w:rPr>
  </w:style>
  <w:style w:type="character" w:customStyle="1" w:styleId="Heading4Char">
    <w:name w:val="Heading 4 Char"/>
    <w:basedOn w:val="DefaultParagraphFont"/>
    <w:link w:val="Heading4"/>
    <w:uiPriority w:val="9"/>
    <w:rsid w:val="00166B5A"/>
    <w:rPr>
      <w:rFonts w:asciiTheme="majorHAnsi" w:hAnsiTheme="majorHAnsi" w:cstheme="majorHAnsi"/>
      <w:b/>
      <w:color w:val="353D30" w:themeColor="text1"/>
      <w:sz w:val="28"/>
      <w:lang w:val="en-GB"/>
    </w:rPr>
  </w:style>
  <w:style w:type="character" w:customStyle="1" w:styleId="Heading5Char">
    <w:name w:val="Heading 5 Char"/>
    <w:basedOn w:val="DefaultParagraphFont"/>
    <w:link w:val="Heading5"/>
    <w:uiPriority w:val="9"/>
    <w:rsid w:val="00115F9C"/>
    <w:rPr>
      <w:rFonts w:asciiTheme="majorHAnsi" w:eastAsiaTheme="majorEastAsia" w:hAnsiTheme="majorHAnsi" w:cstheme="majorBidi"/>
      <w:b/>
      <w:iCs/>
      <w:color w:val="7AB800" w:themeColor="accent1"/>
      <w:sz w:val="20"/>
      <w:lang w:val="en-GB"/>
    </w:rPr>
  </w:style>
  <w:style w:type="character" w:customStyle="1" w:styleId="Heading6Char">
    <w:name w:val="Heading 6 Char"/>
    <w:aliases w:val="h6 Char,ICS in header Char,Bullet (Single Lines) Char,(A) Char,(I) Char,Legal Level 1. Char, not Kinhill Char"/>
    <w:basedOn w:val="DefaultParagraphFont"/>
    <w:link w:val="Heading6"/>
    <w:rsid w:val="005C70E6"/>
    <w:rPr>
      <w:rFonts w:asciiTheme="majorHAnsi" w:eastAsiaTheme="majorEastAsia" w:hAnsiTheme="majorHAnsi" w:cstheme="majorBidi"/>
      <w:color w:val="7AB800" w:themeColor="accent1"/>
      <w:sz w:val="20"/>
      <w:szCs w:val="20"/>
      <w:lang w:val="en-GB"/>
    </w:rPr>
  </w:style>
  <w:style w:type="character" w:customStyle="1" w:styleId="Heading7Char">
    <w:name w:val="Heading 7 Char"/>
    <w:aliases w:val="Legal Level 1.1. Char,not Kinhill Char,not Kinhill1 Char"/>
    <w:basedOn w:val="DefaultParagraphFont"/>
    <w:link w:val="Heading7"/>
    <w:rsid w:val="005C70E6"/>
    <w:rPr>
      <w:rFonts w:asciiTheme="majorHAnsi" w:eastAsiaTheme="majorEastAsia" w:hAnsiTheme="majorHAnsi" w:cstheme="majorBidi"/>
      <w:b/>
      <w:iCs/>
      <w:color w:val="7AB800" w:themeColor="accent1"/>
      <w:sz w:val="20"/>
      <w:lang w:val="en-GB"/>
    </w:rPr>
  </w:style>
  <w:style w:type="character" w:customStyle="1" w:styleId="Heading8Char">
    <w:name w:val="Heading 8 Char"/>
    <w:aliases w:val="Legal Level 1.1.1. Char"/>
    <w:basedOn w:val="DefaultParagraphFont"/>
    <w:link w:val="Heading8"/>
    <w:semiHidden/>
    <w:rsid w:val="005C70E6"/>
    <w:rPr>
      <w:rFonts w:asciiTheme="majorHAnsi" w:eastAsiaTheme="majorEastAsia" w:hAnsiTheme="majorHAnsi" w:cstheme="majorBidi"/>
      <w:color w:val="7AB800" w:themeColor="accent1"/>
      <w:sz w:val="20"/>
      <w:szCs w:val="20"/>
      <w:lang w:val="en-GB"/>
    </w:rPr>
  </w:style>
  <w:style w:type="character" w:customStyle="1" w:styleId="Heading9Char">
    <w:name w:val="Heading 9 Char"/>
    <w:aliases w:val="Legal Level 1.1.1.1. Char"/>
    <w:basedOn w:val="DefaultParagraphFont"/>
    <w:link w:val="Heading9"/>
    <w:semiHidden/>
    <w:rsid w:val="005C70E6"/>
    <w:rPr>
      <w:rFonts w:asciiTheme="majorHAnsi" w:eastAsiaTheme="majorEastAsia" w:hAnsiTheme="majorHAnsi" w:cstheme="majorBidi"/>
      <w:iCs/>
      <w:color w:val="009FDA" w:themeColor="text2"/>
      <w:sz w:val="20"/>
      <w:szCs w:val="20"/>
      <w:lang w:val="en-GB"/>
    </w:rPr>
  </w:style>
  <w:style w:type="paragraph" w:styleId="ListParagraph">
    <w:name w:val="List Paragraph"/>
    <w:basedOn w:val="Normal"/>
    <w:uiPriority w:val="34"/>
    <w:qFormat/>
    <w:rsid w:val="00600C65"/>
    <w:pPr>
      <w:ind w:left="720"/>
      <w:contextualSpacing/>
    </w:pPr>
  </w:style>
  <w:style w:type="paragraph" w:styleId="Caption">
    <w:name w:val="caption"/>
    <w:basedOn w:val="Normal"/>
    <w:next w:val="Normal"/>
    <w:uiPriority w:val="35"/>
    <w:qFormat/>
    <w:rsid w:val="009951A0"/>
    <w:pPr>
      <w:spacing w:before="80" w:after="80" w:line="240" w:lineRule="auto"/>
      <w:jc w:val="center"/>
    </w:pPr>
    <w:rPr>
      <w:b/>
      <w:bCs/>
      <w:color w:val="353D30" w:themeColor="accent2"/>
      <w:szCs w:val="18"/>
    </w:rPr>
  </w:style>
  <w:style w:type="paragraph" w:styleId="Title">
    <w:name w:val="Title"/>
    <w:basedOn w:val="Normal"/>
    <w:next w:val="Normal"/>
    <w:link w:val="TitleChar"/>
    <w:uiPriority w:val="10"/>
    <w:qFormat/>
    <w:rsid w:val="00600C65"/>
    <w:pPr>
      <w:spacing w:after="300" w:line="240" w:lineRule="auto"/>
      <w:contextualSpacing/>
    </w:pPr>
    <w:rPr>
      <w:rFonts w:eastAsiaTheme="majorEastAsia" w:cstheme="majorBidi"/>
      <w:color w:val="7AB800" w:themeColor="accent1"/>
      <w:spacing w:val="5"/>
      <w:kern w:val="28"/>
      <w:sz w:val="70"/>
      <w:szCs w:val="52"/>
    </w:rPr>
  </w:style>
  <w:style w:type="character" w:customStyle="1" w:styleId="TitleChar">
    <w:name w:val="Title Char"/>
    <w:basedOn w:val="DefaultParagraphFont"/>
    <w:link w:val="Title"/>
    <w:uiPriority w:val="10"/>
    <w:rsid w:val="005C70E6"/>
    <w:rPr>
      <w:rFonts w:ascii="Arial" w:eastAsiaTheme="majorEastAsia" w:hAnsi="Arial" w:cstheme="majorBidi"/>
      <w:color w:val="7AB800" w:themeColor="accent1"/>
      <w:spacing w:val="5"/>
      <w:kern w:val="28"/>
      <w:sz w:val="70"/>
      <w:szCs w:val="52"/>
    </w:rPr>
  </w:style>
  <w:style w:type="character" w:styleId="Strong">
    <w:name w:val="Strong"/>
    <w:uiPriority w:val="22"/>
    <w:qFormat/>
    <w:rsid w:val="00600C65"/>
    <w:rPr>
      <w:b/>
      <w:bCs/>
    </w:rPr>
  </w:style>
  <w:style w:type="paragraph" w:styleId="NoSpacing">
    <w:name w:val="No Spacing"/>
    <w:basedOn w:val="Normal"/>
    <w:link w:val="NoSpacingChar"/>
    <w:uiPriority w:val="1"/>
    <w:qFormat/>
    <w:rsid w:val="00600C65"/>
    <w:pPr>
      <w:spacing w:after="0" w:line="240" w:lineRule="auto"/>
    </w:pPr>
  </w:style>
  <w:style w:type="paragraph" w:styleId="Quote">
    <w:name w:val="Quote"/>
    <w:basedOn w:val="Normal"/>
    <w:next w:val="Normal"/>
    <w:link w:val="QuoteChar"/>
    <w:uiPriority w:val="29"/>
    <w:qFormat/>
    <w:rsid w:val="00600C65"/>
    <w:rPr>
      <w:i/>
      <w:iCs/>
      <w:color w:val="353D30" w:themeColor="text1"/>
    </w:rPr>
  </w:style>
  <w:style w:type="character" w:customStyle="1" w:styleId="QuoteChar">
    <w:name w:val="Quote Char"/>
    <w:basedOn w:val="DefaultParagraphFont"/>
    <w:link w:val="Quote"/>
    <w:uiPriority w:val="29"/>
    <w:rsid w:val="005C70E6"/>
    <w:rPr>
      <w:rFonts w:ascii="Arial" w:hAnsi="Arial" w:cs="Arial"/>
      <w:i/>
      <w:iCs/>
      <w:color w:val="353D30" w:themeColor="text1"/>
      <w:sz w:val="20"/>
      <w:szCs w:val="20"/>
    </w:rPr>
  </w:style>
  <w:style w:type="paragraph" w:styleId="IntenseQuote">
    <w:name w:val="Intense Quote"/>
    <w:basedOn w:val="Normal"/>
    <w:next w:val="Normal"/>
    <w:link w:val="IntenseQuoteChar"/>
    <w:uiPriority w:val="30"/>
    <w:qFormat/>
    <w:rsid w:val="00600C65"/>
    <w:pPr>
      <w:pBdr>
        <w:bottom w:val="single" w:sz="4" w:space="4" w:color="7AB800" w:themeColor="accent1"/>
      </w:pBdr>
      <w:spacing w:before="200" w:after="280"/>
      <w:ind w:left="936" w:right="936"/>
    </w:pPr>
    <w:rPr>
      <w:b/>
      <w:bCs/>
      <w:i/>
      <w:iCs/>
      <w:color w:val="7AB800" w:themeColor="accent1"/>
    </w:rPr>
  </w:style>
  <w:style w:type="character" w:customStyle="1" w:styleId="IntenseQuoteChar">
    <w:name w:val="Intense Quote Char"/>
    <w:basedOn w:val="DefaultParagraphFont"/>
    <w:link w:val="IntenseQuote"/>
    <w:uiPriority w:val="30"/>
    <w:rsid w:val="005C70E6"/>
    <w:rPr>
      <w:rFonts w:ascii="Arial" w:hAnsi="Arial" w:cs="Arial"/>
      <w:b/>
      <w:bCs/>
      <w:i/>
      <w:iCs/>
      <w:color w:val="7AB800" w:themeColor="accent1"/>
      <w:sz w:val="20"/>
      <w:szCs w:val="20"/>
    </w:rPr>
  </w:style>
  <w:style w:type="character" w:styleId="SubtleEmphasis">
    <w:name w:val="Subtle Emphasis"/>
    <w:uiPriority w:val="19"/>
    <w:qFormat/>
    <w:rsid w:val="00600C65"/>
    <w:rPr>
      <w:i/>
      <w:iCs/>
      <w:color w:val="98A78F" w:themeColor="text1" w:themeTint="7F"/>
    </w:rPr>
  </w:style>
  <w:style w:type="paragraph" w:styleId="BalloonText">
    <w:name w:val="Balloon Text"/>
    <w:basedOn w:val="Normal"/>
    <w:link w:val="BalloonTextChar"/>
    <w:uiPriority w:val="99"/>
    <w:semiHidden/>
    <w:rsid w:val="00550384"/>
    <w:pPr>
      <w:spacing w:after="0" w:line="240" w:lineRule="auto"/>
    </w:pPr>
    <w:rPr>
      <w:rFonts w:ascii="Tahoma" w:hAnsi="Tahoma" w:cs="Tahoma"/>
      <w:sz w:val="16"/>
      <w:szCs w:val="16"/>
    </w:rPr>
  </w:style>
  <w:style w:type="paragraph" w:styleId="TOCHeading">
    <w:name w:val="TOC Heading"/>
    <w:basedOn w:val="Heading1"/>
    <w:next w:val="Normal"/>
    <w:uiPriority w:val="39"/>
    <w:semiHidden/>
    <w:qFormat/>
    <w:rsid w:val="00600C65"/>
    <w:pPr>
      <w:spacing w:before="480" w:after="0"/>
      <w:outlineLvl w:val="9"/>
    </w:pPr>
    <w:rPr>
      <w:rFonts w:cstheme="majorBidi"/>
      <w:color w:val="5B8900" w:themeColor="accent1" w:themeShade="BF"/>
    </w:rPr>
  </w:style>
  <w:style w:type="character" w:customStyle="1" w:styleId="NoSpacingChar">
    <w:name w:val="No Spacing Char"/>
    <w:basedOn w:val="DefaultParagraphFont"/>
    <w:link w:val="NoSpacing"/>
    <w:uiPriority w:val="1"/>
    <w:rsid w:val="003A1A9A"/>
    <w:rPr>
      <w:rFonts w:ascii="Arial" w:hAnsi="Arial" w:cs="Arial"/>
      <w:sz w:val="20"/>
      <w:szCs w:val="20"/>
      <w:lang w:val="en-AU"/>
    </w:rPr>
  </w:style>
  <w:style w:type="character" w:customStyle="1" w:styleId="BalloonTextChar">
    <w:name w:val="Balloon Text Char"/>
    <w:basedOn w:val="DefaultParagraphFont"/>
    <w:link w:val="BalloonText"/>
    <w:uiPriority w:val="99"/>
    <w:semiHidden/>
    <w:rsid w:val="005C70E6"/>
    <w:rPr>
      <w:rFonts w:ascii="Tahoma" w:hAnsi="Tahoma" w:cs="Tahoma"/>
      <w:sz w:val="16"/>
      <w:szCs w:val="16"/>
    </w:rPr>
  </w:style>
  <w:style w:type="table" w:styleId="TableGrid">
    <w:name w:val="Table Grid"/>
    <w:basedOn w:val="TableNormal"/>
    <w:uiPriority w:val="59"/>
    <w:rsid w:val="001343D2"/>
    <w:pPr>
      <w:spacing w:after="0" w:line="240" w:lineRule="auto"/>
    </w:pPr>
    <w:tblPr>
      <w:tblInd w:w="0" w:type="dxa"/>
      <w:tblBorders>
        <w:top w:val="single" w:sz="4" w:space="0" w:color="353D30" w:themeColor="text1"/>
        <w:left w:val="single" w:sz="4" w:space="0" w:color="353D30" w:themeColor="text1"/>
        <w:bottom w:val="single" w:sz="4" w:space="0" w:color="353D30" w:themeColor="text1"/>
        <w:right w:val="single" w:sz="4" w:space="0" w:color="353D30" w:themeColor="text1"/>
        <w:insideH w:val="single" w:sz="4" w:space="0" w:color="353D30" w:themeColor="text1"/>
        <w:insideV w:val="single" w:sz="4" w:space="0" w:color="353D3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573A1"/>
    <w:rPr>
      <w:rFonts w:cs="Times New Roman"/>
      <w:color w:val="808080"/>
    </w:rPr>
  </w:style>
  <w:style w:type="paragraph" w:styleId="Header">
    <w:name w:val="header"/>
    <w:basedOn w:val="Normal"/>
    <w:link w:val="HeaderChar"/>
    <w:uiPriority w:val="99"/>
    <w:rsid w:val="005A18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0E6"/>
    <w:rPr>
      <w:rFonts w:ascii="Arial" w:hAnsi="Arial" w:cs="Arial"/>
      <w:sz w:val="20"/>
      <w:szCs w:val="20"/>
    </w:rPr>
  </w:style>
  <w:style w:type="paragraph" w:styleId="Footer">
    <w:name w:val="footer"/>
    <w:basedOn w:val="Normal"/>
    <w:link w:val="FooterChar"/>
    <w:uiPriority w:val="99"/>
    <w:rsid w:val="00D67AC3"/>
    <w:pPr>
      <w:tabs>
        <w:tab w:val="center" w:pos="4680"/>
        <w:tab w:val="right" w:pos="9360"/>
      </w:tabs>
      <w:spacing w:after="0" w:line="240" w:lineRule="auto"/>
    </w:pPr>
    <w:rPr>
      <w:sz w:val="12"/>
    </w:rPr>
  </w:style>
  <w:style w:type="character" w:customStyle="1" w:styleId="FooterChar">
    <w:name w:val="Footer Char"/>
    <w:basedOn w:val="DefaultParagraphFont"/>
    <w:link w:val="Footer"/>
    <w:uiPriority w:val="99"/>
    <w:rsid w:val="00D67AC3"/>
    <w:rPr>
      <w:rFonts w:ascii="Arial" w:hAnsi="Arial" w:cs="Arial"/>
      <w:sz w:val="12"/>
      <w:szCs w:val="20"/>
      <w:lang w:val="en-AU"/>
    </w:rPr>
  </w:style>
  <w:style w:type="paragraph" w:styleId="TOC1">
    <w:name w:val="toc 1"/>
    <w:basedOn w:val="Normal"/>
    <w:next w:val="Normal"/>
    <w:autoRedefine/>
    <w:uiPriority w:val="39"/>
    <w:qFormat/>
    <w:rsid w:val="00810E9A"/>
    <w:pPr>
      <w:tabs>
        <w:tab w:val="left" w:pos="426"/>
        <w:tab w:val="right" w:pos="9061"/>
      </w:tabs>
      <w:spacing w:after="100"/>
    </w:pPr>
    <w:rPr>
      <w:b/>
      <w:noProof/>
      <w:color w:val="7AB800" w:themeColor="accent1"/>
    </w:rPr>
  </w:style>
  <w:style w:type="paragraph" w:styleId="TOC2">
    <w:name w:val="toc 2"/>
    <w:basedOn w:val="Normal"/>
    <w:next w:val="Normal"/>
    <w:autoRedefine/>
    <w:uiPriority w:val="39"/>
    <w:qFormat/>
    <w:rsid w:val="004D1302"/>
    <w:pPr>
      <w:tabs>
        <w:tab w:val="left" w:pos="993"/>
        <w:tab w:val="right" w:pos="9061"/>
      </w:tabs>
      <w:spacing w:after="100"/>
      <w:ind w:left="993" w:hanging="567"/>
    </w:pPr>
    <w:rPr>
      <w:noProof/>
    </w:rPr>
  </w:style>
  <w:style w:type="character" w:styleId="Hyperlink">
    <w:name w:val="Hyperlink"/>
    <w:basedOn w:val="DefaultParagraphFont"/>
    <w:uiPriority w:val="99"/>
    <w:unhideWhenUsed/>
    <w:rsid w:val="002A7C21"/>
    <w:rPr>
      <w:color w:val="auto"/>
      <w:u w:val="single"/>
    </w:rPr>
  </w:style>
  <w:style w:type="paragraph" w:customStyle="1" w:styleId="FigureHeading">
    <w:name w:val="Figure Heading"/>
    <w:basedOn w:val="Caption"/>
    <w:link w:val="FigureHeadingChar"/>
    <w:qFormat/>
    <w:rsid w:val="00600C65"/>
    <w:pPr>
      <w:keepNext/>
      <w:spacing w:after="220"/>
    </w:pPr>
    <w:rPr>
      <w:szCs w:val="16"/>
    </w:rPr>
  </w:style>
  <w:style w:type="paragraph" w:customStyle="1" w:styleId="CaptionHeading">
    <w:name w:val="Caption Heading"/>
    <w:basedOn w:val="Caption"/>
    <w:link w:val="CaptionHeadingChar"/>
    <w:qFormat/>
    <w:rsid w:val="00600C65"/>
    <w:pPr>
      <w:keepNext/>
      <w:spacing w:after="220"/>
    </w:pPr>
    <w:rPr>
      <w:szCs w:val="16"/>
    </w:rPr>
  </w:style>
  <w:style w:type="character" w:customStyle="1" w:styleId="FigureHeadingChar">
    <w:name w:val="Figure Heading Char"/>
    <w:basedOn w:val="DefaultParagraphFont"/>
    <w:link w:val="FigureHeading"/>
    <w:rsid w:val="005C70E6"/>
    <w:rPr>
      <w:rFonts w:ascii="Arial" w:hAnsi="Arial" w:cs="Arial"/>
      <w:b/>
      <w:bCs/>
      <w:color w:val="353D30" w:themeColor="accent2"/>
      <w:sz w:val="16"/>
      <w:szCs w:val="16"/>
    </w:rPr>
  </w:style>
  <w:style w:type="paragraph" w:customStyle="1" w:styleId="CaptionText">
    <w:name w:val="Caption Text"/>
    <w:basedOn w:val="NoSpacing"/>
    <w:next w:val="Normal"/>
    <w:link w:val="CaptionTextChar"/>
    <w:qFormat/>
    <w:rsid w:val="00600C65"/>
    <w:pPr>
      <w:spacing w:after="220"/>
    </w:pPr>
    <w:rPr>
      <w:sz w:val="16"/>
      <w:szCs w:val="16"/>
    </w:rPr>
  </w:style>
  <w:style w:type="character" w:customStyle="1" w:styleId="CaptionHeadingChar">
    <w:name w:val="Caption Heading Char"/>
    <w:basedOn w:val="FigureHeadingChar"/>
    <w:link w:val="CaptionHeading"/>
    <w:rsid w:val="00600C65"/>
    <w:rPr>
      <w:rFonts w:ascii="Arial" w:hAnsi="Arial" w:cs="Arial"/>
      <w:b/>
      <w:bCs/>
      <w:color w:val="353D30" w:themeColor="accent2"/>
      <w:sz w:val="16"/>
      <w:szCs w:val="16"/>
    </w:rPr>
  </w:style>
  <w:style w:type="paragraph" w:styleId="DocumentMap">
    <w:name w:val="Document Map"/>
    <w:basedOn w:val="Normal"/>
    <w:link w:val="DocumentMapChar"/>
    <w:uiPriority w:val="99"/>
    <w:semiHidden/>
    <w:rsid w:val="00800E5D"/>
    <w:pPr>
      <w:spacing w:after="0" w:line="240" w:lineRule="auto"/>
    </w:pPr>
    <w:rPr>
      <w:rFonts w:ascii="Tahoma" w:hAnsi="Tahoma" w:cs="Tahoma"/>
      <w:sz w:val="16"/>
      <w:szCs w:val="16"/>
    </w:rPr>
  </w:style>
  <w:style w:type="character" w:customStyle="1" w:styleId="CaptionTextChar">
    <w:name w:val="Caption Text Char"/>
    <w:basedOn w:val="DefaultParagraphFont"/>
    <w:link w:val="CaptionText"/>
    <w:rsid w:val="00600C65"/>
    <w:rPr>
      <w:rFonts w:ascii="Arial" w:hAnsi="Arial" w:cs="Arial"/>
      <w:sz w:val="16"/>
      <w:szCs w:val="16"/>
    </w:rPr>
  </w:style>
  <w:style w:type="character" w:customStyle="1" w:styleId="DocumentMapChar">
    <w:name w:val="Document Map Char"/>
    <w:basedOn w:val="DefaultParagraphFont"/>
    <w:link w:val="DocumentMap"/>
    <w:uiPriority w:val="99"/>
    <w:semiHidden/>
    <w:rsid w:val="005C70E6"/>
    <w:rPr>
      <w:rFonts w:ascii="Tahoma" w:hAnsi="Tahoma" w:cs="Tahoma"/>
      <w:sz w:val="16"/>
      <w:szCs w:val="16"/>
    </w:rPr>
  </w:style>
  <w:style w:type="paragraph" w:customStyle="1" w:styleId="ChapterHeading">
    <w:name w:val="Chapter Heading"/>
    <w:basedOn w:val="Heading1"/>
    <w:next w:val="Normal"/>
    <w:link w:val="ChapterHeadingChar"/>
    <w:semiHidden/>
    <w:qFormat/>
    <w:rsid w:val="00600C65"/>
    <w:pPr>
      <w:ind w:left="567" w:hanging="567"/>
      <w:outlineLvl w:val="9"/>
    </w:pPr>
    <w:rPr>
      <w:spacing w:val="5"/>
      <w:kern w:val="28"/>
      <w:sz w:val="70"/>
      <w:szCs w:val="70"/>
    </w:rPr>
  </w:style>
  <w:style w:type="character" w:customStyle="1" w:styleId="ChapterHeadingChar">
    <w:name w:val="Chapter Heading Char"/>
    <w:basedOn w:val="TitleChar"/>
    <w:link w:val="ChapterHeading"/>
    <w:semiHidden/>
    <w:rsid w:val="005C70E6"/>
    <w:rPr>
      <w:rFonts w:asciiTheme="majorHAnsi" w:eastAsiaTheme="majorEastAsia" w:hAnsiTheme="majorHAnsi" w:cstheme="majorHAnsi"/>
      <w:b/>
      <w:bCs/>
      <w:color w:val="7AB800" w:themeColor="accent1"/>
      <w:spacing w:val="5"/>
      <w:kern w:val="28"/>
      <w:sz w:val="70"/>
      <w:szCs w:val="70"/>
      <w:lang w:val="en-GB"/>
    </w:rPr>
  </w:style>
  <w:style w:type="paragraph" w:customStyle="1" w:styleId="Section">
    <w:name w:val="Section"/>
    <w:basedOn w:val="Title"/>
    <w:link w:val="SectionChar"/>
    <w:semiHidden/>
    <w:rsid w:val="00600C65"/>
  </w:style>
  <w:style w:type="character" w:customStyle="1" w:styleId="SectionChar">
    <w:name w:val="Section Char"/>
    <w:basedOn w:val="TitleChar"/>
    <w:link w:val="Section"/>
    <w:semiHidden/>
    <w:rsid w:val="000B5921"/>
    <w:rPr>
      <w:rFonts w:ascii="Arial" w:eastAsiaTheme="majorEastAsia" w:hAnsi="Arial" w:cstheme="majorBidi"/>
      <w:color w:val="7AB800" w:themeColor="accent1"/>
      <w:spacing w:val="5"/>
      <w:kern w:val="28"/>
      <w:sz w:val="70"/>
      <w:szCs w:val="52"/>
      <w:lang w:val="en-AU"/>
    </w:rPr>
  </w:style>
  <w:style w:type="paragraph" w:customStyle="1" w:styleId="FigureText">
    <w:name w:val="Figure Text"/>
    <w:basedOn w:val="NoSpacing"/>
    <w:next w:val="Normal"/>
    <w:link w:val="FigureTextChar"/>
    <w:semiHidden/>
    <w:qFormat/>
    <w:rsid w:val="00600C65"/>
    <w:pPr>
      <w:spacing w:after="220"/>
    </w:pPr>
    <w:rPr>
      <w:sz w:val="16"/>
      <w:szCs w:val="16"/>
    </w:rPr>
  </w:style>
  <w:style w:type="character" w:customStyle="1" w:styleId="FigureTextChar">
    <w:name w:val="Figure Text Char"/>
    <w:basedOn w:val="DefaultParagraphFont"/>
    <w:link w:val="FigureText"/>
    <w:semiHidden/>
    <w:rsid w:val="005C70E6"/>
    <w:rPr>
      <w:rFonts w:ascii="Arial" w:hAnsi="Arial" w:cs="Arial"/>
      <w:sz w:val="16"/>
      <w:szCs w:val="16"/>
    </w:rPr>
  </w:style>
  <w:style w:type="table" w:customStyle="1" w:styleId="LightShading1">
    <w:name w:val="Light Shading1"/>
    <w:basedOn w:val="TableNormal"/>
    <w:uiPriority w:val="60"/>
    <w:rsid w:val="00D04755"/>
    <w:pPr>
      <w:spacing w:after="0" w:line="240" w:lineRule="auto"/>
    </w:pPr>
    <w:rPr>
      <w:color w:val="272D23" w:themeColor="text1" w:themeShade="BF"/>
    </w:rPr>
    <w:tblPr>
      <w:tblStyleRowBandSize w:val="1"/>
      <w:tblStyleColBandSize w:val="1"/>
      <w:tblInd w:w="0" w:type="dxa"/>
      <w:tblBorders>
        <w:top w:val="single" w:sz="8" w:space="0" w:color="353D30" w:themeColor="text1"/>
        <w:bottom w:val="single" w:sz="8" w:space="0" w:color="353D3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3D30" w:themeColor="text1"/>
          <w:left w:val="nil"/>
          <w:bottom w:val="single" w:sz="8" w:space="0" w:color="353D30" w:themeColor="text1"/>
          <w:right w:val="nil"/>
          <w:insideH w:val="nil"/>
          <w:insideV w:val="nil"/>
        </w:tcBorders>
      </w:tcPr>
    </w:tblStylePr>
    <w:tblStylePr w:type="lastRow">
      <w:pPr>
        <w:spacing w:before="0" w:after="0" w:line="240" w:lineRule="auto"/>
      </w:pPr>
      <w:rPr>
        <w:b/>
        <w:bCs/>
      </w:rPr>
      <w:tblPr/>
      <w:tcPr>
        <w:tcBorders>
          <w:top w:val="single" w:sz="8" w:space="0" w:color="353D30" w:themeColor="text1"/>
          <w:left w:val="nil"/>
          <w:bottom w:val="single" w:sz="8" w:space="0" w:color="353D3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C7" w:themeFill="text1" w:themeFillTint="3F"/>
      </w:tcPr>
    </w:tblStylePr>
    <w:tblStylePr w:type="band1Horz">
      <w:tblPr/>
      <w:tcPr>
        <w:tcBorders>
          <w:left w:val="nil"/>
          <w:right w:val="nil"/>
          <w:insideH w:val="nil"/>
          <w:insideV w:val="nil"/>
        </w:tcBorders>
        <w:shd w:val="clear" w:color="auto" w:fill="CBD3C7" w:themeFill="text1" w:themeFillTint="3F"/>
      </w:tcPr>
    </w:tblStylePr>
  </w:style>
  <w:style w:type="paragraph" w:customStyle="1" w:styleId="DividerTitle">
    <w:name w:val="Divider Title"/>
    <w:basedOn w:val="Normal"/>
    <w:link w:val="DividerTitleChar"/>
    <w:semiHidden/>
    <w:qFormat/>
    <w:rsid w:val="00600C65"/>
    <w:pPr>
      <w:keepNext/>
      <w:keepLines/>
      <w:spacing w:before="170" w:after="113" w:line="240" w:lineRule="auto"/>
      <w:ind w:left="567" w:hanging="567"/>
    </w:pPr>
    <w:rPr>
      <w:rFonts w:asciiTheme="majorHAnsi" w:eastAsiaTheme="majorEastAsia" w:hAnsiTheme="majorHAnsi" w:cstheme="majorHAnsi"/>
      <w:bCs/>
      <w:color w:val="FFFFFF" w:themeColor="background1"/>
      <w:spacing w:val="5"/>
      <w:kern w:val="28"/>
      <w:sz w:val="70"/>
      <w:szCs w:val="70"/>
    </w:rPr>
  </w:style>
  <w:style w:type="character" w:customStyle="1" w:styleId="DividerTitleChar">
    <w:name w:val="Divider Title Char"/>
    <w:basedOn w:val="DefaultParagraphFont"/>
    <w:link w:val="DividerTitle"/>
    <w:semiHidden/>
    <w:rsid w:val="00600C65"/>
    <w:rPr>
      <w:rFonts w:asciiTheme="majorHAnsi" w:eastAsiaTheme="majorEastAsia" w:hAnsiTheme="majorHAnsi" w:cstheme="majorHAnsi"/>
      <w:bCs/>
      <w:color w:val="FFFFFF" w:themeColor="background1"/>
      <w:spacing w:val="5"/>
      <w:kern w:val="28"/>
      <w:sz w:val="70"/>
      <w:szCs w:val="70"/>
    </w:rPr>
  </w:style>
  <w:style w:type="paragraph" w:customStyle="1" w:styleId="FooterText">
    <w:name w:val="Footer Text"/>
    <w:basedOn w:val="TOC1"/>
    <w:link w:val="FooterTextChar"/>
    <w:qFormat/>
    <w:rsid w:val="00D67AC3"/>
    <w:pPr>
      <w:tabs>
        <w:tab w:val="left" w:pos="400"/>
      </w:tabs>
      <w:spacing w:after="20" w:line="240" w:lineRule="auto"/>
      <w:ind w:right="28"/>
      <w:jc w:val="right"/>
    </w:pPr>
    <w:rPr>
      <w:b w:val="0"/>
      <w:color w:val="auto"/>
      <w:spacing w:val="-2"/>
      <w:kern w:val="2"/>
      <w:position w:val="-2"/>
      <w:sz w:val="12"/>
      <w:lang w:val="en-US"/>
    </w:rPr>
  </w:style>
  <w:style w:type="character" w:customStyle="1" w:styleId="FooterTextChar">
    <w:name w:val="Footer Text Char"/>
    <w:basedOn w:val="DefaultParagraphFont"/>
    <w:link w:val="FooterText"/>
    <w:rsid w:val="00D67AC3"/>
    <w:rPr>
      <w:rFonts w:ascii="Arial" w:hAnsi="Arial" w:cs="Arial"/>
      <w:noProof/>
      <w:spacing w:val="-2"/>
      <w:kern w:val="2"/>
      <w:position w:val="-2"/>
      <w:sz w:val="12"/>
      <w:szCs w:val="20"/>
    </w:rPr>
  </w:style>
  <w:style w:type="paragraph" w:customStyle="1" w:styleId="InfoBoxInfoTitle">
    <w:name w:val="InfoBox Info Title"/>
    <w:basedOn w:val="Normal"/>
    <w:semiHidden/>
    <w:qFormat/>
    <w:rsid w:val="00600C65"/>
    <w:pPr>
      <w:spacing w:before="100" w:after="30" w:line="240" w:lineRule="auto"/>
    </w:pPr>
    <w:rPr>
      <w:rFonts w:cstheme="minorBidi"/>
      <w:b/>
      <w:color w:val="353D30" w:themeColor="accent2"/>
      <w:sz w:val="17"/>
      <w:szCs w:val="22"/>
    </w:rPr>
  </w:style>
  <w:style w:type="paragraph" w:customStyle="1" w:styleId="InfoBoxInfoText">
    <w:name w:val="InfoBox Info Text"/>
    <w:basedOn w:val="InfoBoxInfoTitle"/>
    <w:semiHidden/>
    <w:qFormat/>
    <w:rsid w:val="00600C65"/>
    <w:pPr>
      <w:spacing w:before="10"/>
    </w:pPr>
    <w:rPr>
      <w:b w:val="0"/>
      <w:color w:val="auto"/>
    </w:rPr>
  </w:style>
  <w:style w:type="paragraph" w:customStyle="1" w:styleId="InfoBoxNormal">
    <w:name w:val="InfoBox Normal"/>
    <w:basedOn w:val="InfoBoxInfoText"/>
    <w:semiHidden/>
    <w:qFormat/>
    <w:rsid w:val="00600C65"/>
    <w:pPr>
      <w:spacing w:before="0" w:after="0" w:line="260" w:lineRule="exact"/>
    </w:pPr>
    <w:rPr>
      <w:sz w:val="18"/>
    </w:rPr>
  </w:style>
  <w:style w:type="paragraph" w:customStyle="1" w:styleId="InfoBoxHeading2">
    <w:name w:val="InfoBox Heading 2"/>
    <w:basedOn w:val="InfoBoxNormal"/>
    <w:semiHidden/>
    <w:qFormat/>
    <w:rsid w:val="00600C65"/>
    <w:pPr>
      <w:spacing w:before="30" w:after="30"/>
    </w:pPr>
    <w:rPr>
      <w:b/>
    </w:rPr>
  </w:style>
  <w:style w:type="paragraph" w:customStyle="1" w:styleId="InfoBoxHeading1">
    <w:name w:val="InfoBox Heading 1"/>
    <w:basedOn w:val="InfoBoxHeading2"/>
    <w:semiHidden/>
    <w:qFormat/>
    <w:rsid w:val="00600C65"/>
    <w:pPr>
      <w:spacing w:before="200" w:after="120" w:line="240" w:lineRule="auto"/>
    </w:pPr>
    <w:rPr>
      <w:color w:val="353D30" w:themeColor="accent2"/>
      <w:sz w:val="28"/>
    </w:rPr>
  </w:style>
  <w:style w:type="paragraph" w:customStyle="1" w:styleId="PartHeading">
    <w:name w:val="Part Heading"/>
    <w:basedOn w:val="Title"/>
    <w:link w:val="PartHeadingChar"/>
    <w:qFormat/>
    <w:rsid w:val="004841C2"/>
    <w:pPr>
      <w:pageBreakBefore/>
      <w:spacing w:after="0"/>
    </w:pPr>
    <w:rPr>
      <w:bCs/>
    </w:rPr>
  </w:style>
  <w:style w:type="character" w:customStyle="1" w:styleId="PartHeadingChar">
    <w:name w:val="Part Heading Char"/>
    <w:basedOn w:val="ChapterHeadingChar"/>
    <w:link w:val="PartHeading"/>
    <w:rsid w:val="004841C2"/>
    <w:rPr>
      <w:rFonts w:ascii="Arial" w:eastAsiaTheme="majorEastAsia" w:hAnsi="Arial" w:cstheme="majorBidi"/>
      <w:b/>
      <w:bCs/>
      <w:color w:val="7AB800" w:themeColor="accent1"/>
      <w:spacing w:val="5"/>
      <w:kern w:val="28"/>
      <w:sz w:val="70"/>
      <w:szCs w:val="52"/>
      <w:lang w:val="en-GB"/>
    </w:rPr>
  </w:style>
  <w:style w:type="paragraph" w:customStyle="1" w:styleId="InfoBoxIntroText">
    <w:name w:val="InfoBox Intro Text"/>
    <w:basedOn w:val="Normal"/>
    <w:link w:val="InfoBoxIntroTextChar"/>
    <w:semiHidden/>
    <w:qFormat/>
    <w:rsid w:val="00600C65"/>
    <w:pPr>
      <w:spacing w:after="113" w:line="280" w:lineRule="exact"/>
    </w:pPr>
    <w:rPr>
      <w:rFonts w:eastAsia="Times New Roman"/>
      <w:color w:val="353D30" w:themeColor="accent2"/>
      <w:sz w:val="24"/>
      <w:szCs w:val="24"/>
    </w:rPr>
  </w:style>
  <w:style w:type="character" w:customStyle="1" w:styleId="InfoBoxIntroTextChar">
    <w:name w:val="InfoBox Intro Text Char"/>
    <w:basedOn w:val="DefaultParagraphFont"/>
    <w:link w:val="InfoBoxIntroText"/>
    <w:semiHidden/>
    <w:rsid w:val="00600C65"/>
    <w:rPr>
      <w:rFonts w:ascii="Arial" w:eastAsia="Times New Roman" w:hAnsi="Arial" w:cs="Arial"/>
      <w:color w:val="353D30" w:themeColor="accent2"/>
      <w:sz w:val="24"/>
      <w:szCs w:val="24"/>
    </w:rPr>
  </w:style>
  <w:style w:type="paragraph" w:customStyle="1" w:styleId="InfoBoxTitle">
    <w:name w:val="InfoBox Title"/>
    <w:basedOn w:val="Normal"/>
    <w:link w:val="InfoBoxTitleChar"/>
    <w:semiHidden/>
    <w:qFormat/>
    <w:rsid w:val="00600C65"/>
    <w:pPr>
      <w:spacing w:after="160" w:line="240" w:lineRule="auto"/>
    </w:pPr>
    <w:rPr>
      <w:rFonts w:eastAsia="Times New Roman" w:cstheme="minorBidi"/>
      <w:b/>
      <w:color w:val="353D30"/>
      <w:sz w:val="40"/>
      <w:szCs w:val="40"/>
    </w:rPr>
  </w:style>
  <w:style w:type="character" w:customStyle="1" w:styleId="InfoBoxTitleChar">
    <w:name w:val="InfoBox Title Char"/>
    <w:basedOn w:val="DefaultParagraphFont"/>
    <w:link w:val="InfoBoxTitle"/>
    <w:semiHidden/>
    <w:rsid w:val="00600C65"/>
    <w:rPr>
      <w:rFonts w:ascii="Arial" w:eastAsia="Times New Roman" w:hAnsi="Arial"/>
      <w:b/>
      <w:color w:val="353D30"/>
      <w:sz w:val="40"/>
      <w:szCs w:val="40"/>
    </w:rPr>
  </w:style>
  <w:style w:type="paragraph" w:customStyle="1" w:styleId="InfoBoxSubtitle">
    <w:name w:val="InfoBox Subtitle"/>
    <w:basedOn w:val="Normal"/>
    <w:link w:val="InfoBoxSubtitleChar"/>
    <w:semiHidden/>
    <w:qFormat/>
    <w:rsid w:val="00600C65"/>
    <w:pPr>
      <w:spacing w:after="160" w:line="240" w:lineRule="auto"/>
    </w:pPr>
    <w:rPr>
      <w:rFonts w:eastAsia="Times New Roman" w:cstheme="minorBidi"/>
      <w:color w:val="353D30"/>
      <w:sz w:val="40"/>
      <w:szCs w:val="40"/>
    </w:rPr>
  </w:style>
  <w:style w:type="character" w:customStyle="1" w:styleId="InfoBoxSubtitleChar">
    <w:name w:val="InfoBox Subtitle Char"/>
    <w:basedOn w:val="DefaultParagraphFont"/>
    <w:link w:val="InfoBoxSubtitle"/>
    <w:semiHidden/>
    <w:rsid w:val="00600C65"/>
    <w:rPr>
      <w:rFonts w:ascii="Arial" w:eastAsia="Times New Roman" w:hAnsi="Arial"/>
      <w:color w:val="353D30"/>
      <w:sz w:val="40"/>
      <w:szCs w:val="40"/>
    </w:rPr>
  </w:style>
  <w:style w:type="paragraph" w:customStyle="1" w:styleId="H1">
    <w:name w:val="H1"/>
    <w:basedOn w:val="Heading1"/>
    <w:link w:val="H1Char"/>
    <w:semiHidden/>
    <w:qFormat/>
    <w:rsid w:val="00600C65"/>
    <w:pPr>
      <w:ind w:left="1134" w:hanging="1134"/>
    </w:pPr>
    <w:rPr>
      <w:sz w:val="28"/>
      <w:szCs w:val="28"/>
    </w:rPr>
  </w:style>
  <w:style w:type="character" w:customStyle="1" w:styleId="H1Char">
    <w:name w:val="H1 Char"/>
    <w:basedOn w:val="Heading1Char"/>
    <w:link w:val="H1"/>
    <w:semiHidden/>
    <w:rsid w:val="00600C65"/>
    <w:rPr>
      <w:rFonts w:asciiTheme="majorHAnsi" w:eastAsiaTheme="majorEastAsia" w:hAnsiTheme="majorHAnsi" w:cstheme="majorHAnsi"/>
      <w:b/>
      <w:bCs/>
      <w:color w:val="7AB800" w:themeColor="accent1"/>
      <w:sz w:val="28"/>
      <w:szCs w:val="28"/>
      <w:lang w:val="en-GB"/>
    </w:rPr>
  </w:style>
  <w:style w:type="paragraph" w:customStyle="1" w:styleId="H3">
    <w:name w:val="H3"/>
    <w:basedOn w:val="H1"/>
    <w:next w:val="Normal"/>
    <w:link w:val="H3Char"/>
    <w:semiHidden/>
    <w:qFormat/>
    <w:rsid w:val="00600C65"/>
    <w:pPr>
      <w:spacing w:line="240" w:lineRule="exact"/>
      <w:ind w:left="0" w:firstLine="0"/>
    </w:pPr>
    <w:rPr>
      <w:sz w:val="20"/>
      <w:szCs w:val="20"/>
    </w:rPr>
  </w:style>
  <w:style w:type="character" w:customStyle="1" w:styleId="H3Char">
    <w:name w:val="H3 Char"/>
    <w:basedOn w:val="H1Char"/>
    <w:link w:val="H3"/>
    <w:semiHidden/>
    <w:rsid w:val="00600C65"/>
    <w:rPr>
      <w:rFonts w:asciiTheme="majorHAnsi" w:eastAsiaTheme="majorEastAsia" w:hAnsiTheme="majorHAnsi" w:cstheme="majorHAnsi"/>
      <w:b/>
      <w:bCs/>
      <w:color w:val="7AB800" w:themeColor="accent1"/>
      <w:sz w:val="20"/>
      <w:szCs w:val="20"/>
      <w:lang w:val="en-GB"/>
    </w:rPr>
  </w:style>
  <w:style w:type="paragraph" w:customStyle="1" w:styleId="InfoBoxSubtitle2">
    <w:name w:val="InfoBox Subtitle 2"/>
    <w:basedOn w:val="Normal"/>
    <w:link w:val="InfoBoxSubtitle2Char"/>
    <w:semiHidden/>
    <w:qFormat/>
    <w:rsid w:val="00600C65"/>
    <w:pPr>
      <w:spacing w:after="160" w:line="240" w:lineRule="auto"/>
    </w:pPr>
    <w:rPr>
      <w:rFonts w:cstheme="minorBidi"/>
      <w:sz w:val="28"/>
      <w:szCs w:val="28"/>
    </w:rPr>
  </w:style>
  <w:style w:type="character" w:customStyle="1" w:styleId="InfoBoxSubtitle2Char">
    <w:name w:val="InfoBox Subtitle 2 Char"/>
    <w:basedOn w:val="DefaultParagraphFont"/>
    <w:link w:val="InfoBoxSubtitle2"/>
    <w:semiHidden/>
    <w:rsid w:val="00600C65"/>
    <w:rPr>
      <w:rFonts w:ascii="Arial" w:hAnsi="Arial"/>
      <w:sz w:val="28"/>
      <w:szCs w:val="28"/>
    </w:rPr>
  </w:style>
  <w:style w:type="paragraph" w:customStyle="1" w:styleId="InfoBoxTitle2">
    <w:name w:val="InfoBox Title 2"/>
    <w:basedOn w:val="Normal"/>
    <w:link w:val="InfoBoxTitle2Char"/>
    <w:semiHidden/>
    <w:qFormat/>
    <w:rsid w:val="00600C65"/>
    <w:pPr>
      <w:spacing w:after="160" w:line="240" w:lineRule="auto"/>
    </w:pPr>
    <w:rPr>
      <w:rFonts w:cstheme="minorBidi"/>
      <w:b/>
      <w:color w:val="353D30" w:themeColor="accent2"/>
      <w:sz w:val="28"/>
      <w:szCs w:val="28"/>
    </w:rPr>
  </w:style>
  <w:style w:type="character" w:customStyle="1" w:styleId="InfoBoxTitle2Char">
    <w:name w:val="InfoBox Title 2 Char"/>
    <w:basedOn w:val="DefaultParagraphFont"/>
    <w:link w:val="InfoBoxTitle2"/>
    <w:semiHidden/>
    <w:rsid w:val="00600C65"/>
    <w:rPr>
      <w:rFonts w:ascii="Arial" w:hAnsi="Arial"/>
      <w:b/>
      <w:color w:val="353D30" w:themeColor="accent2"/>
      <w:sz w:val="28"/>
      <w:szCs w:val="28"/>
    </w:rPr>
  </w:style>
  <w:style w:type="paragraph" w:styleId="TOC3">
    <w:name w:val="toc 3"/>
    <w:basedOn w:val="Normal"/>
    <w:next w:val="Normal"/>
    <w:autoRedefine/>
    <w:uiPriority w:val="39"/>
    <w:qFormat/>
    <w:rsid w:val="004D1302"/>
    <w:pPr>
      <w:tabs>
        <w:tab w:val="left" w:pos="1701"/>
        <w:tab w:val="right" w:pos="9061"/>
      </w:tabs>
      <w:spacing w:after="100"/>
      <w:ind w:left="1701" w:hanging="708"/>
    </w:pPr>
    <w:rPr>
      <w:noProof/>
    </w:rPr>
  </w:style>
  <w:style w:type="numbering" w:customStyle="1" w:styleId="AureconNumbering">
    <w:name w:val="Aurecon Numbering"/>
    <w:uiPriority w:val="99"/>
    <w:rsid w:val="005252BC"/>
    <w:pPr>
      <w:numPr>
        <w:numId w:val="2"/>
      </w:numPr>
    </w:pPr>
  </w:style>
  <w:style w:type="paragraph" w:styleId="TOC4">
    <w:name w:val="toc 4"/>
    <w:basedOn w:val="Normal"/>
    <w:next w:val="Normal"/>
    <w:autoRedefine/>
    <w:uiPriority w:val="39"/>
    <w:rsid w:val="004D1302"/>
    <w:pPr>
      <w:tabs>
        <w:tab w:val="left" w:pos="2552"/>
        <w:tab w:val="right" w:pos="9061"/>
      </w:tabs>
      <w:spacing w:after="100"/>
      <w:ind w:left="2552" w:hanging="851"/>
    </w:pPr>
    <w:rPr>
      <w:noProof/>
    </w:rPr>
  </w:style>
  <w:style w:type="paragraph" w:customStyle="1" w:styleId="ExecSum-Heading1">
    <w:name w:val="Exec Sum - Heading 1"/>
    <w:basedOn w:val="Normal"/>
    <w:next w:val="Normal"/>
    <w:semiHidden/>
    <w:rsid w:val="003C4785"/>
    <w:rPr>
      <w:b/>
      <w:bCs/>
      <w:color w:val="7AB800" w:themeColor="accent1"/>
      <w:sz w:val="28"/>
      <w:szCs w:val="28"/>
    </w:rPr>
  </w:style>
  <w:style w:type="paragraph" w:customStyle="1" w:styleId="ExecSum-Heading2">
    <w:name w:val="Exec Sum - Heading 2"/>
    <w:basedOn w:val="Normal"/>
    <w:next w:val="Normal"/>
    <w:semiHidden/>
    <w:rsid w:val="003C4785"/>
    <w:rPr>
      <w:b/>
      <w:bCs/>
      <w:color w:val="353D30" w:themeColor="accent2"/>
      <w:sz w:val="23"/>
      <w:szCs w:val="23"/>
    </w:rPr>
  </w:style>
  <w:style w:type="paragraph" w:customStyle="1" w:styleId="SingleLineSpacingText">
    <w:name w:val="Single Line Spacing Text"/>
    <w:next w:val="Normal"/>
    <w:semiHidden/>
    <w:qFormat/>
    <w:rsid w:val="00600C65"/>
    <w:pPr>
      <w:spacing w:after="0" w:line="240" w:lineRule="auto"/>
    </w:pPr>
    <w:rPr>
      <w:rFonts w:ascii="Arial" w:hAnsi="Arial" w:cs="Arial"/>
      <w:sz w:val="20"/>
      <w:szCs w:val="20"/>
    </w:rPr>
  </w:style>
  <w:style w:type="paragraph" w:styleId="TableofFigures">
    <w:name w:val="table of figures"/>
    <w:basedOn w:val="Normal"/>
    <w:next w:val="Normal"/>
    <w:uiPriority w:val="99"/>
    <w:rsid w:val="000047A7"/>
    <w:pPr>
      <w:tabs>
        <w:tab w:val="right" w:pos="9072"/>
      </w:tabs>
      <w:spacing w:after="0"/>
      <w:ind w:left="400" w:hanging="400"/>
    </w:pPr>
    <w:rPr>
      <w:rFonts w:asciiTheme="minorHAnsi" w:hAnsiTheme="minorHAnsi" w:cstheme="minorHAnsi"/>
      <w:bCs/>
    </w:rPr>
  </w:style>
  <w:style w:type="paragraph" w:customStyle="1" w:styleId="TOFHeading">
    <w:name w:val="TOF Heading"/>
    <w:next w:val="TableofFigures"/>
    <w:semiHidden/>
    <w:rsid w:val="008D470D"/>
    <w:rPr>
      <w:rFonts w:ascii="Arial" w:eastAsiaTheme="majorEastAsia" w:hAnsi="Arial" w:cstheme="majorBidi"/>
      <w:color w:val="7AB800" w:themeColor="accent1"/>
      <w:spacing w:val="5"/>
      <w:kern w:val="28"/>
      <w:sz w:val="36"/>
      <w:szCs w:val="36"/>
    </w:rPr>
  </w:style>
  <w:style w:type="paragraph" w:customStyle="1" w:styleId="AppendixHeading2">
    <w:name w:val="Appendix Heading 2"/>
    <w:next w:val="Normal"/>
    <w:qFormat/>
    <w:rsid w:val="00600C65"/>
    <w:rPr>
      <w:rFonts w:asciiTheme="majorHAnsi" w:eastAsiaTheme="majorEastAsia" w:hAnsiTheme="majorHAnsi" w:cs="Arial"/>
      <w:b/>
      <w:bCs/>
      <w:color w:val="353D30" w:themeColor="accent2"/>
      <w:sz w:val="24"/>
      <w:szCs w:val="24"/>
    </w:rPr>
  </w:style>
  <w:style w:type="table" w:styleId="MediumGrid1-Accent5">
    <w:name w:val="Medium Grid 1 Accent 5"/>
    <w:basedOn w:val="TableNormal"/>
    <w:uiPriority w:val="67"/>
    <w:rsid w:val="00A564BD"/>
    <w:pPr>
      <w:spacing w:after="0" w:line="240" w:lineRule="auto"/>
    </w:pPr>
    <w:tblPr>
      <w:tblStyleRowBandSize w:val="1"/>
      <w:tblStyleColBandSize w:val="1"/>
      <w:tblInd w:w="0" w:type="dxa"/>
      <w:tblBorders>
        <w:top w:val="single" w:sz="8" w:space="0" w:color="D2EBAA" w:themeColor="accent5" w:themeTint="BF"/>
        <w:left w:val="single" w:sz="8" w:space="0" w:color="D2EBAA" w:themeColor="accent5" w:themeTint="BF"/>
        <w:bottom w:val="single" w:sz="8" w:space="0" w:color="D2EBAA" w:themeColor="accent5" w:themeTint="BF"/>
        <w:right w:val="single" w:sz="8" w:space="0" w:color="D2EBAA" w:themeColor="accent5" w:themeTint="BF"/>
        <w:insideH w:val="single" w:sz="8" w:space="0" w:color="D2EBAA" w:themeColor="accent5" w:themeTint="BF"/>
        <w:insideV w:val="single" w:sz="8" w:space="0" w:color="D2EBAA" w:themeColor="accent5" w:themeTint="BF"/>
      </w:tblBorders>
      <w:tblCellMar>
        <w:top w:w="0" w:type="dxa"/>
        <w:left w:w="108" w:type="dxa"/>
        <w:bottom w:w="0" w:type="dxa"/>
        <w:right w:w="108" w:type="dxa"/>
      </w:tblCellMar>
    </w:tblPr>
    <w:tcPr>
      <w:shd w:val="clear" w:color="auto" w:fill="F0F8E2" w:themeFill="accent5" w:themeFillTint="3F"/>
    </w:tcPr>
    <w:tblStylePr w:type="firstRow">
      <w:rPr>
        <w:b/>
        <w:bCs/>
      </w:rPr>
      <w:tblPr/>
      <w:tcPr>
        <w:shd w:val="clear" w:color="auto" w:fill="7AB800" w:themeFill="accent1"/>
      </w:tcPr>
    </w:tblStylePr>
    <w:tblStylePr w:type="lastRow">
      <w:rPr>
        <w:b/>
        <w:bCs/>
      </w:rPr>
      <w:tblPr/>
      <w:tcPr>
        <w:tcBorders>
          <w:top w:val="single" w:sz="18" w:space="0" w:color="D2EBAA" w:themeColor="accent5" w:themeTint="BF"/>
        </w:tcBorders>
      </w:tcPr>
    </w:tblStylePr>
    <w:tblStylePr w:type="firstCol">
      <w:rPr>
        <w:b/>
        <w:bCs/>
      </w:rPr>
    </w:tblStylePr>
    <w:tblStylePr w:type="lastCol">
      <w:rPr>
        <w:b/>
        <w:bCs/>
      </w:rPr>
    </w:tblStylePr>
    <w:tblStylePr w:type="band1Vert">
      <w:tblPr/>
      <w:tcPr>
        <w:shd w:val="clear" w:color="auto" w:fill="E1F2C6" w:themeFill="accent5" w:themeFillTint="7F"/>
      </w:tcPr>
    </w:tblStylePr>
    <w:tblStylePr w:type="band1Horz">
      <w:tblPr/>
      <w:tcPr>
        <w:shd w:val="clear" w:color="auto" w:fill="E1F2C6" w:themeFill="accent5" w:themeFillTint="7F"/>
      </w:tcPr>
    </w:tblStylePr>
  </w:style>
  <w:style w:type="table" w:customStyle="1" w:styleId="AureconBasicTable1">
    <w:name w:val="Aurecon Basic Table 1"/>
    <w:basedOn w:val="TableNormal"/>
    <w:uiPriority w:val="99"/>
    <w:rsid w:val="00A564BD"/>
    <w:pPr>
      <w:spacing w:after="0" w:line="240" w:lineRule="auto"/>
    </w:pPr>
    <w:rPr>
      <w:sz w:val="18"/>
    </w:rPr>
    <w:tblPr>
      <w:tblStyleRowBandSize w:val="1"/>
      <w:tblInd w:w="0" w:type="dxa"/>
      <w:tblBorders>
        <w:left w:val="single" w:sz="4" w:space="0" w:color="7AB800" w:themeColor="accent1"/>
        <w:bottom w:val="single" w:sz="4" w:space="0" w:color="7AB800" w:themeColor="accent1"/>
        <w:right w:val="single" w:sz="4" w:space="0" w:color="7AB800" w:themeColor="accent1"/>
        <w:insideV w:val="single" w:sz="4" w:space="0" w:color="7AB800" w:themeColor="accent1"/>
      </w:tblBorders>
      <w:tblCellMar>
        <w:top w:w="0" w:type="dxa"/>
        <w:left w:w="108" w:type="dxa"/>
        <w:bottom w:w="0" w:type="dxa"/>
        <w:right w:w="108" w:type="dxa"/>
      </w:tblCellMar>
    </w:tblPr>
    <w:tblStylePr w:type="firstRow">
      <w:pPr>
        <w:wordWrap/>
        <w:jc w:val="left"/>
      </w:pPr>
      <w:rPr>
        <w:b/>
      </w:rPr>
      <w:tblPr/>
      <w:tcPr>
        <w:shd w:val="clear" w:color="auto" w:fill="7AB800" w:themeFill="accent1"/>
        <w:vAlign w:val="center"/>
      </w:tcPr>
    </w:tblStylePr>
    <w:tblStylePr w:type="band1Horz">
      <w:tblPr/>
      <w:tcPr>
        <w:shd w:val="clear" w:color="auto" w:fill="E7F4D1" w:themeFill="accent5" w:themeFillTint="66"/>
      </w:tcPr>
    </w:tblStylePr>
  </w:style>
  <w:style w:type="table" w:customStyle="1" w:styleId="AureconTableStyle2">
    <w:name w:val="Aurecon Table Style 2"/>
    <w:basedOn w:val="TableNormal"/>
    <w:uiPriority w:val="99"/>
    <w:rsid w:val="00435CCD"/>
    <w:pPr>
      <w:spacing w:after="0" w:line="240" w:lineRule="auto"/>
    </w:pPr>
    <w:rPr>
      <w:sz w:val="18"/>
    </w:rPr>
    <w:tblPr>
      <w:tblStyleRowBandSize w:val="1"/>
      <w:tblInd w:w="0" w:type="dxa"/>
      <w:tblBorders>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cPr>
      <w:shd w:val="clear" w:color="auto" w:fill="FFFFFF" w:themeFill="background1"/>
      <w:vAlign w:val="center"/>
    </w:tcPr>
    <w:tblStylePr w:type="firstRow">
      <w:rPr>
        <w:rFonts w:ascii="Arial" w:hAnsi="Arial"/>
        <w:b/>
        <w:color w:val="8A9285" w:themeColor="accent3" w:themeShade="BF"/>
        <w:sz w:val="20"/>
      </w:rPr>
      <w:tblPr/>
      <w:tcPr>
        <w:shd w:val="clear" w:color="auto" w:fill="FFFFFF" w:themeFill="background1"/>
      </w:tcPr>
    </w:tblStylePr>
    <w:tblStylePr w:type="firstCol">
      <w:pPr>
        <w:jc w:val="left"/>
      </w:pPr>
      <w:rPr>
        <w:b/>
      </w:rPr>
      <w:tblPr/>
      <w:tcPr>
        <w:shd w:val="clear" w:color="auto" w:fill="BABFB7" w:themeFill="accent3"/>
        <w:vAlign w:val="center"/>
      </w:tcPr>
    </w:tblStylePr>
    <w:tblStylePr w:type="band1Horz">
      <w:tblPr/>
      <w:tcPr>
        <w:shd w:val="clear" w:color="auto" w:fill="EAECE9" w:themeFill="accent6"/>
      </w:tcPr>
    </w:tblStylePr>
  </w:style>
  <w:style w:type="table" w:styleId="ColorfulGrid-Accent5">
    <w:name w:val="Colorful Grid Accent 5"/>
    <w:basedOn w:val="TableNormal"/>
    <w:uiPriority w:val="73"/>
    <w:rsid w:val="004C017C"/>
    <w:pPr>
      <w:spacing w:after="0" w:line="240" w:lineRule="auto"/>
    </w:pPr>
    <w:rPr>
      <w:color w:val="353D3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3F9E8" w:themeFill="accent5" w:themeFillTint="33"/>
    </w:tcPr>
    <w:tblStylePr w:type="firstRow">
      <w:rPr>
        <w:b/>
        <w:bCs/>
      </w:rPr>
      <w:tblPr/>
      <w:tcPr>
        <w:shd w:val="clear" w:color="auto" w:fill="E7F4D1" w:themeFill="accent5" w:themeFillTint="66"/>
      </w:tcPr>
    </w:tblStylePr>
    <w:tblStylePr w:type="lastRow">
      <w:rPr>
        <w:b/>
        <w:bCs/>
        <w:color w:val="353D30" w:themeColor="text1"/>
      </w:rPr>
      <w:tblPr/>
      <w:tcPr>
        <w:shd w:val="clear" w:color="auto" w:fill="E7F4D1" w:themeFill="accent5" w:themeFillTint="66"/>
      </w:tcPr>
    </w:tblStylePr>
    <w:tblStylePr w:type="firstCol">
      <w:rPr>
        <w:color w:val="FFFFFF" w:themeColor="background1"/>
      </w:rPr>
      <w:tblPr/>
      <w:tcPr>
        <w:shd w:val="clear" w:color="auto" w:fill="9CD342" w:themeFill="accent5" w:themeFillShade="BF"/>
      </w:tcPr>
    </w:tblStylePr>
    <w:tblStylePr w:type="lastCol">
      <w:rPr>
        <w:color w:val="FFFFFF" w:themeColor="background1"/>
      </w:rPr>
      <w:tblPr/>
      <w:tcPr>
        <w:shd w:val="clear" w:color="auto" w:fill="9CD342" w:themeFill="accent5" w:themeFillShade="BF"/>
      </w:tcPr>
    </w:tblStylePr>
    <w:tblStylePr w:type="band1Vert">
      <w:tblPr/>
      <w:tcPr>
        <w:shd w:val="clear" w:color="auto" w:fill="E1F2C6" w:themeFill="accent5" w:themeFillTint="7F"/>
      </w:tcPr>
    </w:tblStylePr>
    <w:tblStylePr w:type="band1Horz">
      <w:tblPr/>
      <w:tcPr>
        <w:shd w:val="clear" w:color="auto" w:fill="E1F2C6" w:themeFill="accent5" w:themeFillTint="7F"/>
      </w:tcPr>
    </w:tblStylePr>
  </w:style>
  <w:style w:type="table" w:customStyle="1" w:styleId="Style1">
    <w:name w:val="Style1"/>
    <w:basedOn w:val="TableNormal"/>
    <w:uiPriority w:val="99"/>
    <w:qFormat/>
    <w:rsid w:val="00207A43"/>
    <w:pPr>
      <w:spacing w:after="0" w:line="240" w:lineRule="auto"/>
      <w:jc w:val="center"/>
    </w:pPr>
    <w:rPr>
      <w:rFonts w:ascii="Arial" w:hAnsi="Arial"/>
      <w:sz w:val="18"/>
      <w:lang w:val="en-AU"/>
    </w:rPr>
    <w:tblPr>
      <w:tblStyleRowBandSize w:val="1"/>
      <w:tblStyleColBandSize w:val="1"/>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rPr>
      <w:jc w:val="center"/>
    </w:trPr>
    <w:tcPr>
      <w:shd w:val="clear" w:color="auto" w:fill="F1F9E5"/>
      <w:vAlign w:val="center"/>
    </w:tcPr>
    <w:tblStylePr w:type="firstRow">
      <w:pPr>
        <w:wordWrap/>
        <w:jc w:val="center"/>
      </w:pPr>
      <w:rPr>
        <w:rFonts w:ascii="Arial" w:hAnsi="Arial"/>
        <w:b/>
        <w:sz w:val="18"/>
      </w:rPr>
      <w:tblPr/>
      <w:tcPr>
        <w:shd w:val="clear" w:color="auto" w:fill="C4E58E"/>
      </w:tcPr>
    </w:tblStylePr>
    <w:tblStylePr w:type="firstCol">
      <w:pPr>
        <w:wordWrap/>
        <w:spacing w:beforeLines="0" w:beforeAutospacing="0" w:afterLines="0" w:afterAutospacing="0" w:line="240" w:lineRule="auto"/>
        <w:jc w:val="left"/>
      </w:pPr>
    </w:tblStylePr>
    <w:tblStylePr w:type="band1Horz">
      <w:pPr>
        <w:wordWrap/>
        <w:spacing w:beforeLines="0" w:beforeAutospacing="0" w:afterLines="0" w:afterAutospacing="0" w:line="240" w:lineRule="auto"/>
        <w:jc w:val="left"/>
      </w:pPr>
      <w:tblPr/>
      <w:tcPr>
        <w:shd w:val="clear" w:color="auto" w:fill="F2F2F2" w:themeFill="background1" w:themeFillShade="F2"/>
      </w:tcPr>
    </w:tblStylePr>
    <w:tblStylePr w:type="band2Horz">
      <w:pPr>
        <w:wordWrap/>
        <w:spacing w:beforeLines="0" w:beforeAutospacing="0" w:afterLines="0" w:afterAutospacing="0" w:line="240" w:lineRule="auto"/>
        <w:jc w:val="left"/>
      </w:pPr>
    </w:tblStylePr>
  </w:style>
  <w:style w:type="table" w:customStyle="1" w:styleId="Style3">
    <w:name w:val="Style 3"/>
    <w:basedOn w:val="TableNormal"/>
    <w:uiPriority w:val="99"/>
    <w:qFormat/>
    <w:rsid w:val="004C017C"/>
    <w:pPr>
      <w:spacing w:before="30" w:after="30" w:line="240" w:lineRule="auto"/>
    </w:pPr>
    <w:rPr>
      <w:rFonts w:ascii="Arial" w:hAnsi="Arial"/>
      <w:sz w:val="18"/>
      <w:lang w:val="en-AU"/>
    </w:rPr>
    <w:tblPr>
      <w:tblStyleRowBandSize w:val="1"/>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b/>
        <w:sz w:val="18"/>
      </w:rPr>
      <w:tblPr/>
      <w:tcPr>
        <w:shd w:val="clear" w:color="auto" w:fill="353D30" w:themeFill="accent2"/>
      </w:tcPr>
    </w:tblStylePr>
    <w:tblStylePr w:type="firstCol">
      <w:tblPr/>
      <w:tcPr>
        <w:shd w:val="clear" w:color="auto" w:fill="353D30" w:themeFill="accent2"/>
      </w:tcPr>
    </w:tblStylePr>
    <w:tblStylePr w:type="band2Horz">
      <w:tblPr/>
      <w:tcPr>
        <w:shd w:val="clear" w:color="auto" w:fill="C4E58E"/>
      </w:tcPr>
    </w:tblStylePr>
  </w:style>
  <w:style w:type="table" w:customStyle="1" w:styleId="Style30">
    <w:name w:val="Style3"/>
    <w:basedOn w:val="TableNormal"/>
    <w:uiPriority w:val="99"/>
    <w:qFormat/>
    <w:rsid w:val="004C017C"/>
    <w:pPr>
      <w:spacing w:before="30" w:after="30" w:line="240" w:lineRule="auto"/>
    </w:pPr>
    <w:rPr>
      <w:rFonts w:ascii="Arial" w:hAnsi="Arial"/>
      <w:sz w:val="18"/>
      <w:lang w:val="en-AU"/>
    </w:rPr>
    <w:tblPr>
      <w:tblStyleRowBandSize w:val="1"/>
      <w:tblStyleColBandSize w:val="1"/>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tblPr/>
      <w:tcPr>
        <w:tcBorders>
          <w:bottom w:val="single" w:sz="4" w:space="0" w:color="7AB800" w:themeColor="accent1"/>
        </w:tcBorders>
        <w:shd w:val="clear" w:color="auto" w:fill="F1F9E5"/>
      </w:tcPr>
    </w:tblStylePr>
    <w:tblStylePr w:type="lastRow">
      <w:tblPr/>
      <w:tcPr>
        <w:shd w:val="clear" w:color="auto" w:fill="F2F2F2" w:themeFill="background1" w:themeFillShade="F2"/>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table" w:customStyle="1" w:styleId="Style2">
    <w:name w:val="Style2"/>
    <w:basedOn w:val="LightShading-Accent4"/>
    <w:uiPriority w:val="99"/>
    <w:qFormat/>
    <w:rsid w:val="004C017C"/>
    <w:pPr>
      <w:spacing w:before="30" w:after="30"/>
    </w:pPr>
    <w:rPr>
      <w:rFonts w:ascii="Arial" w:hAnsi="Arial"/>
      <w:color w:val="7AB800" w:themeColor="accent1"/>
      <w:sz w:val="18"/>
      <w:szCs w:val="20"/>
      <w:lang w:val="en-AU" w:eastAsia="en-AU"/>
    </w:rPr>
    <w:tblPr>
      <w:tblStyleRowBandSize w:val="1"/>
      <w:tblStyleColBandSize w:val="1"/>
      <w:tblInd w:w="0" w:type="dxa"/>
      <w:tblBorders>
        <w:top w:val="single" w:sz="8" w:space="0" w:color="EFF0EF" w:themeColor="accent4"/>
        <w:bottom w:val="single" w:sz="4" w:space="0" w:color="7AB8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4" w:space="0" w:color="7AB800" w:themeColor="accent1"/>
          <w:left w:val="nil"/>
          <w:bottom w:val="single" w:sz="4" w:space="0" w:color="7AB800" w:themeColor="accent1"/>
          <w:right w:val="nil"/>
          <w:insideH w:val="nil"/>
          <w:insideV w:val="nil"/>
        </w:tcBorders>
      </w:tcPr>
    </w:tblStylePr>
    <w:tblStylePr w:type="lastRow">
      <w:pPr>
        <w:spacing w:before="0" w:after="0" w:line="240" w:lineRule="auto"/>
      </w:pPr>
      <w:rPr>
        <w:b/>
        <w:bCs/>
      </w:rPr>
      <w:tblPr/>
      <w:tcPr>
        <w:tcBorders>
          <w:top w:val="single" w:sz="4" w:space="0" w:color="7AB800" w:themeColor="accent1"/>
          <w:left w:val="nil"/>
          <w:bottom w:val="single" w:sz="4" w:space="0" w:color="7AB800" w:themeColor="accen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4" w:themeFillTint="3F"/>
      </w:tcPr>
    </w:tblStylePr>
    <w:tblStylePr w:type="band1Horz">
      <w:tblPr/>
      <w:tcPr>
        <w:tcBorders>
          <w:left w:val="nil"/>
          <w:right w:val="nil"/>
          <w:insideH w:val="nil"/>
          <w:insideV w:val="nil"/>
        </w:tcBorders>
        <w:shd w:val="clear" w:color="auto" w:fill="FBFBFB" w:themeFill="accent4" w:themeFillTint="3F"/>
      </w:tcPr>
    </w:tblStylePr>
    <w:tblStylePr w:type="band2Horz">
      <w:tblPr/>
      <w:tcPr>
        <w:shd w:val="clear" w:color="auto" w:fill="C4E58E"/>
      </w:tcPr>
    </w:tblStylePr>
  </w:style>
  <w:style w:type="table" w:styleId="LightShading-Accent4">
    <w:name w:val="Light Shading Accent 4"/>
    <w:basedOn w:val="TableNormal"/>
    <w:uiPriority w:val="60"/>
    <w:rsid w:val="004C017C"/>
    <w:pPr>
      <w:spacing w:after="0" w:line="240" w:lineRule="auto"/>
    </w:pPr>
    <w:rPr>
      <w:color w:val="B0B5B0" w:themeColor="accent4" w:themeShade="BF"/>
    </w:rPr>
    <w:tblPr>
      <w:tblStyleRowBandSize w:val="1"/>
      <w:tblStyleColBandSize w:val="1"/>
      <w:tblInd w:w="0" w:type="dxa"/>
      <w:tblBorders>
        <w:top w:val="single" w:sz="8" w:space="0" w:color="EFF0EF" w:themeColor="accent4"/>
        <w:bottom w:val="single" w:sz="8" w:space="0" w:color="EFF0E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F0EF" w:themeColor="accent4"/>
          <w:left w:val="nil"/>
          <w:bottom w:val="single" w:sz="8" w:space="0" w:color="EFF0EF" w:themeColor="accent4"/>
          <w:right w:val="nil"/>
          <w:insideH w:val="nil"/>
          <w:insideV w:val="nil"/>
        </w:tcBorders>
      </w:tcPr>
    </w:tblStylePr>
    <w:tblStylePr w:type="lastRow">
      <w:pPr>
        <w:spacing w:before="0" w:after="0" w:line="240" w:lineRule="auto"/>
      </w:pPr>
      <w:rPr>
        <w:b/>
        <w:bCs/>
      </w:rPr>
      <w:tblPr/>
      <w:tcPr>
        <w:tcBorders>
          <w:top w:val="single" w:sz="8" w:space="0" w:color="EFF0EF" w:themeColor="accent4"/>
          <w:left w:val="nil"/>
          <w:bottom w:val="single" w:sz="8" w:space="0" w:color="EFF0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4" w:themeFillTint="3F"/>
      </w:tcPr>
    </w:tblStylePr>
    <w:tblStylePr w:type="band1Horz">
      <w:tblPr/>
      <w:tcPr>
        <w:tcBorders>
          <w:left w:val="nil"/>
          <w:right w:val="nil"/>
          <w:insideH w:val="nil"/>
          <w:insideV w:val="nil"/>
        </w:tcBorders>
        <w:shd w:val="clear" w:color="auto" w:fill="FBFBFB" w:themeFill="accent4" w:themeFillTint="3F"/>
      </w:tcPr>
    </w:tblStylePr>
  </w:style>
  <w:style w:type="paragraph" w:customStyle="1" w:styleId="AppendixChapterHeading">
    <w:name w:val="Appendix Chapter Heading"/>
    <w:basedOn w:val="Title"/>
    <w:link w:val="AppendixChapterHeadingChar"/>
    <w:semiHidden/>
    <w:qFormat/>
    <w:rsid w:val="00F54FC4"/>
    <w:rPr>
      <w:bCs/>
    </w:rPr>
  </w:style>
  <w:style w:type="character" w:customStyle="1" w:styleId="AppendixChapterHeadingChar">
    <w:name w:val="Appendix Chapter Heading Char"/>
    <w:basedOn w:val="ChapterHeadingChar"/>
    <w:link w:val="AppendixChapterHeading"/>
    <w:semiHidden/>
    <w:rsid w:val="000874AA"/>
    <w:rPr>
      <w:rFonts w:ascii="Arial" w:eastAsiaTheme="majorEastAsia" w:hAnsi="Arial" w:cstheme="majorBidi"/>
      <w:b/>
      <w:bCs/>
      <w:color w:val="7AB800" w:themeColor="accent1"/>
      <w:spacing w:val="5"/>
      <w:kern w:val="28"/>
      <w:sz w:val="70"/>
      <w:szCs w:val="52"/>
      <w:lang w:val="en-AU"/>
    </w:rPr>
  </w:style>
  <w:style w:type="paragraph" w:customStyle="1" w:styleId="Subject">
    <w:name w:val="Subject"/>
    <w:basedOn w:val="Normal"/>
    <w:link w:val="SubjectChar"/>
    <w:semiHidden/>
    <w:rsid w:val="00AE2D6C"/>
    <w:rPr>
      <w:b/>
      <w:caps/>
      <w:color w:val="7AB800" w:themeColor="accent1"/>
    </w:rPr>
  </w:style>
  <w:style w:type="character" w:customStyle="1" w:styleId="SubjectChar">
    <w:name w:val="Subject Char"/>
    <w:basedOn w:val="DefaultParagraphFont"/>
    <w:link w:val="Subject"/>
    <w:semiHidden/>
    <w:rsid w:val="00B31691"/>
    <w:rPr>
      <w:rFonts w:ascii="Arial" w:hAnsi="Arial" w:cs="Arial"/>
      <w:b/>
      <w:caps/>
      <w:color w:val="7AB800" w:themeColor="accent1"/>
      <w:sz w:val="20"/>
      <w:szCs w:val="20"/>
    </w:rPr>
  </w:style>
  <w:style w:type="paragraph" w:styleId="Subtitle">
    <w:name w:val="Subtitle"/>
    <w:basedOn w:val="Normal"/>
    <w:next w:val="Normal"/>
    <w:link w:val="SubtitleChar"/>
    <w:uiPriority w:val="11"/>
    <w:qFormat/>
    <w:rsid w:val="00600C65"/>
    <w:pPr>
      <w:numPr>
        <w:ilvl w:val="1"/>
      </w:numPr>
    </w:pPr>
    <w:rPr>
      <w:rFonts w:asciiTheme="majorHAnsi" w:eastAsiaTheme="majorEastAsia" w:hAnsiTheme="majorHAnsi" w:cstheme="majorBidi"/>
      <w:i/>
      <w:iCs/>
      <w:color w:val="7AB800" w:themeColor="accent1"/>
      <w:spacing w:val="15"/>
      <w:sz w:val="24"/>
      <w:szCs w:val="24"/>
    </w:rPr>
  </w:style>
  <w:style w:type="character" w:customStyle="1" w:styleId="SubtitleChar">
    <w:name w:val="Subtitle Char"/>
    <w:basedOn w:val="DefaultParagraphFont"/>
    <w:link w:val="Subtitle"/>
    <w:uiPriority w:val="11"/>
    <w:rsid w:val="005C70E6"/>
    <w:rPr>
      <w:rFonts w:asciiTheme="majorHAnsi" w:eastAsiaTheme="majorEastAsia" w:hAnsiTheme="majorHAnsi" w:cstheme="majorBidi"/>
      <w:i/>
      <w:iCs/>
      <w:color w:val="7AB800" w:themeColor="accent1"/>
      <w:spacing w:val="15"/>
      <w:sz w:val="24"/>
      <w:szCs w:val="24"/>
    </w:rPr>
  </w:style>
  <w:style w:type="character" w:styleId="Emphasis">
    <w:name w:val="Emphasis"/>
    <w:uiPriority w:val="20"/>
    <w:qFormat/>
    <w:rsid w:val="00600C65"/>
    <w:rPr>
      <w:i/>
      <w:iCs/>
    </w:rPr>
  </w:style>
  <w:style w:type="character" w:styleId="IntenseEmphasis">
    <w:name w:val="Intense Emphasis"/>
    <w:uiPriority w:val="21"/>
    <w:qFormat/>
    <w:rsid w:val="00600C65"/>
    <w:rPr>
      <w:b/>
      <w:bCs/>
      <w:i/>
      <w:iCs/>
      <w:color w:val="7AB800" w:themeColor="accent1"/>
    </w:rPr>
  </w:style>
  <w:style w:type="character" w:styleId="SubtleReference">
    <w:name w:val="Subtle Reference"/>
    <w:uiPriority w:val="31"/>
    <w:qFormat/>
    <w:rsid w:val="00600C65"/>
    <w:rPr>
      <w:smallCaps/>
      <w:color w:val="353D30" w:themeColor="accent2"/>
      <w:u w:val="single"/>
    </w:rPr>
  </w:style>
  <w:style w:type="character" w:styleId="IntenseReference">
    <w:name w:val="Intense Reference"/>
    <w:uiPriority w:val="32"/>
    <w:qFormat/>
    <w:rsid w:val="00600C65"/>
    <w:rPr>
      <w:b/>
      <w:bCs/>
      <w:smallCaps/>
      <w:color w:val="353D30" w:themeColor="accent2"/>
      <w:spacing w:val="5"/>
      <w:u w:val="single"/>
    </w:rPr>
  </w:style>
  <w:style w:type="paragraph" w:styleId="ListNumber">
    <w:name w:val="List Number"/>
    <w:basedOn w:val="ChapterHeading"/>
    <w:uiPriority w:val="99"/>
    <w:semiHidden/>
    <w:rsid w:val="006D0502"/>
    <w:pPr>
      <w:numPr>
        <w:numId w:val="3"/>
      </w:numPr>
      <w:contextualSpacing/>
    </w:pPr>
  </w:style>
  <w:style w:type="paragraph" w:styleId="ListNumber2">
    <w:name w:val="List Number 2"/>
    <w:basedOn w:val="Heading1"/>
    <w:uiPriority w:val="99"/>
    <w:semiHidden/>
    <w:rsid w:val="006D0502"/>
    <w:pPr>
      <w:numPr>
        <w:numId w:val="4"/>
      </w:numPr>
      <w:contextualSpacing/>
    </w:pPr>
  </w:style>
  <w:style w:type="paragraph" w:customStyle="1" w:styleId="Bullet1">
    <w:name w:val="Bullet 1"/>
    <w:basedOn w:val="ListParagraph"/>
    <w:link w:val="Bullet1Char"/>
    <w:qFormat/>
    <w:rsid w:val="00B233CC"/>
    <w:pPr>
      <w:numPr>
        <w:numId w:val="16"/>
      </w:numPr>
      <w:spacing w:before="60" w:line="240" w:lineRule="auto"/>
      <w:contextualSpacing w:val="0"/>
    </w:pPr>
  </w:style>
  <w:style w:type="paragraph" w:customStyle="1" w:styleId="Bullet2">
    <w:name w:val="Bullet 2"/>
    <w:basedOn w:val="ListParagraph"/>
    <w:qFormat/>
    <w:rsid w:val="00600C65"/>
    <w:pPr>
      <w:numPr>
        <w:ilvl w:val="1"/>
        <w:numId w:val="6"/>
      </w:numPr>
      <w:spacing w:after="60"/>
    </w:pPr>
  </w:style>
  <w:style w:type="paragraph" w:customStyle="1" w:styleId="Bullet3">
    <w:name w:val="Bullet 3"/>
    <w:basedOn w:val="ListParagraph"/>
    <w:qFormat/>
    <w:rsid w:val="00600C65"/>
    <w:pPr>
      <w:numPr>
        <w:ilvl w:val="2"/>
        <w:numId w:val="7"/>
      </w:numPr>
      <w:spacing w:after="60"/>
    </w:pPr>
  </w:style>
  <w:style w:type="paragraph" w:styleId="TOC9">
    <w:name w:val="toc 9"/>
    <w:basedOn w:val="Normal"/>
    <w:next w:val="Normal"/>
    <w:autoRedefine/>
    <w:uiPriority w:val="39"/>
    <w:rsid w:val="00704496"/>
    <w:pPr>
      <w:spacing w:after="100"/>
    </w:pPr>
    <w:rPr>
      <w:b/>
      <w:color w:val="7AB800" w:themeColor="accent1"/>
    </w:rPr>
  </w:style>
  <w:style w:type="table" w:customStyle="1" w:styleId="LightShading-Accent11">
    <w:name w:val="Light Shading - Accent 11"/>
    <w:basedOn w:val="TableNormal"/>
    <w:uiPriority w:val="60"/>
    <w:rsid w:val="009510AE"/>
    <w:pPr>
      <w:spacing w:after="0" w:line="240" w:lineRule="auto"/>
    </w:pPr>
    <w:rPr>
      <w:color w:val="5B8900" w:themeColor="accent1" w:themeShade="BF"/>
    </w:rPr>
    <w:tblPr>
      <w:tblStyleRowBandSize w:val="1"/>
      <w:tblStyleColBandSize w:val="1"/>
      <w:tblInd w:w="0" w:type="dxa"/>
      <w:tblBorders>
        <w:top w:val="single" w:sz="8" w:space="0" w:color="7AB800" w:themeColor="accent1"/>
        <w:bottom w:val="single" w:sz="8" w:space="0" w:color="7AB8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B800" w:themeColor="accent1"/>
          <w:left w:val="nil"/>
          <w:bottom w:val="single" w:sz="8" w:space="0" w:color="7AB800" w:themeColor="accent1"/>
          <w:right w:val="nil"/>
          <w:insideH w:val="nil"/>
          <w:insideV w:val="nil"/>
        </w:tcBorders>
      </w:tcPr>
    </w:tblStylePr>
    <w:tblStylePr w:type="lastRow">
      <w:pPr>
        <w:spacing w:before="0" w:after="0" w:line="240" w:lineRule="auto"/>
      </w:pPr>
      <w:rPr>
        <w:b/>
        <w:bCs/>
      </w:rPr>
      <w:tblPr/>
      <w:tcPr>
        <w:tcBorders>
          <w:top w:val="single" w:sz="8" w:space="0" w:color="7AB800" w:themeColor="accent1"/>
          <w:left w:val="nil"/>
          <w:bottom w:val="single" w:sz="8" w:space="0" w:color="7AB800"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C4E58E" w:themeFill="accent5"/>
      </w:tcPr>
    </w:tblStylePr>
    <w:tblStylePr w:type="band1Horz">
      <w:tblPr/>
      <w:tcPr>
        <w:shd w:val="clear" w:color="auto" w:fill="C4E58E" w:themeFill="accent5"/>
      </w:tcPr>
    </w:tblStylePr>
  </w:style>
  <w:style w:type="table" w:customStyle="1" w:styleId="LightList-Accent11">
    <w:name w:val="Light List - Accent 11"/>
    <w:basedOn w:val="TableNormal"/>
    <w:uiPriority w:val="61"/>
    <w:rsid w:val="009510AE"/>
    <w:pPr>
      <w:spacing w:after="0" w:line="240" w:lineRule="auto"/>
    </w:p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B800" w:themeFill="accent1"/>
      </w:tcPr>
    </w:tblStylePr>
    <w:tblStylePr w:type="lastRow">
      <w:pPr>
        <w:spacing w:before="0" w:after="0" w:line="240" w:lineRule="auto"/>
      </w:pPr>
      <w:rPr>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tcBorders>
      </w:tcPr>
    </w:tblStylePr>
    <w:tblStylePr w:type="firstCol">
      <w:rPr>
        <w:b/>
        <w:bCs/>
      </w:rPr>
    </w:tblStylePr>
    <w:tblStylePr w:type="lastCol">
      <w:rPr>
        <w:b/>
        <w:bCs/>
      </w:rPr>
    </w:tblStylePr>
    <w:tblStylePr w:type="band1Vert">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style>
  <w:style w:type="table" w:customStyle="1" w:styleId="LightGrid-Accent11">
    <w:name w:val="Light Grid - Accent 11"/>
    <w:basedOn w:val="TableNormal"/>
    <w:uiPriority w:val="62"/>
    <w:rsid w:val="009510AE"/>
    <w:pPr>
      <w:spacing w:after="0" w:line="240" w:lineRule="auto"/>
    </w:p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insideH w:val="single" w:sz="8" w:space="0" w:color="7AB800" w:themeColor="accent1"/>
        <w:insideV w:val="single" w:sz="8" w:space="0" w:color="7AB80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B800" w:themeColor="accent1"/>
          <w:left w:val="single" w:sz="8" w:space="0" w:color="7AB800" w:themeColor="accent1"/>
          <w:bottom w:val="single" w:sz="18" w:space="0" w:color="7AB800" w:themeColor="accent1"/>
          <w:right w:val="single" w:sz="8" w:space="0" w:color="7AB800" w:themeColor="accent1"/>
          <w:insideH w:val="nil"/>
          <w:insideV w:val="single" w:sz="8" w:space="0" w:color="7AB8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insideH w:val="nil"/>
          <w:insideV w:val="single" w:sz="8" w:space="0" w:color="7AB8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Vert">
      <w:tblPr/>
      <w:tcPr>
        <w:shd w:val="clear" w:color="auto" w:fill="C4E58E" w:themeFill="accent5"/>
      </w:tcPr>
    </w:tblStylePr>
    <w:tblStylePr w:type="band1Horz">
      <w:tblPr/>
      <w:tcPr>
        <w:shd w:val="clear" w:color="auto" w:fill="C4E58E" w:themeFill="accent5"/>
      </w:tcPr>
    </w:tblStylePr>
    <w:tblStylePr w:type="band2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insideV w:val="single" w:sz="8" w:space="0" w:color="7AB800" w:themeColor="accent1"/>
        </w:tcBorders>
      </w:tcPr>
    </w:tblStylePr>
  </w:style>
  <w:style w:type="table" w:customStyle="1" w:styleId="MediumShading1-Accent11">
    <w:name w:val="Medium Shading 1 - Accent 11"/>
    <w:basedOn w:val="TableNormal"/>
    <w:uiPriority w:val="63"/>
    <w:rsid w:val="00BC3104"/>
    <w:pPr>
      <w:spacing w:after="0" w:line="240" w:lineRule="auto"/>
    </w:pPr>
    <w:tblPr>
      <w:tblStyleRowBandSize w:val="1"/>
      <w:tblStyleColBandSize w:val="1"/>
      <w:tblInd w:w="0" w:type="dxa"/>
      <w:tblBorders>
        <w:top w:val="single" w:sz="8" w:space="0" w:color="ACFF0A" w:themeColor="accent1" w:themeTint="BF"/>
        <w:left w:val="single" w:sz="8" w:space="0" w:color="ACFF0A" w:themeColor="accent1" w:themeTint="BF"/>
        <w:bottom w:val="single" w:sz="8" w:space="0" w:color="ACFF0A" w:themeColor="accent1" w:themeTint="BF"/>
        <w:right w:val="single" w:sz="8" w:space="0" w:color="ACFF0A" w:themeColor="accent1" w:themeTint="BF"/>
        <w:insideH w:val="single" w:sz="8" w:space="0" w:color="ACFF0A" w:themeColor="accent1" w:themeTint="BF"/>
      </w:tblBorders>
      <w:tblCellMar>
        <w:top w:w="0" w:type="dxa"/>
        <w:left w:w="108" w:type="dxa"/>
        <w:bottom w:w="0" w:type="dxa"/>
        <w:right w:w="108" w:type="dxa"/>
      </w:tblCellMar>
    </w:tblPr>
    <w:tblStylePr w:type="firstRow">
      <w:pPr>
        <w:spacing w:before="0" w:after="0" w:line="240" w:lineRule="auto"/>
      </w:pPr>
      <w:rPr>
        <w:b/>
        <w:bCs/>
        <w:color w:val="auto"/>
      </w:rPr>
      <w:tblPr/>
      <w:tcPr>
        <w:tcBorders>
          <w:top w:val="single" w:sz="4" w:space="0" w:color="353D30" w:themeColor="text1"/>
          <w:left w:val="single" w:sz="4" w:space="0" w:color="353D30" w:themeColor="text1"/>
          <w:bottom w:val="single" w:sz="4" w:space="0" w:color="353D30" w:themeColor="text1"/>
          <w:right w:val="single" w:sz="4" w:space="0" w:color="353D30" w:themeColor="text1"/>
          <w:insideH w:val="single" w:sz="4" w:space="0" w:color="353D30" w:themeColor="text1"/>
          <w:insideV w:val="single" w:sz="4" w:space="0" w:color="353D30" w:themeColor="text1"/>
        </w:tcBorders>
        <w:shd w:val="clear" w:color="auto" w:fill="353D30" w:themeFill="text1"/>
      </w:tcPr>
    </w:tblStylePr>
    <w:tblStylePr w:type="lastRow">
      <w:pPr>
        <w:spacing w:before="0" w:after="0" w:line="240" w:lineRule="auto"/>
      </w:pPr>
      <w:rPr>
        <w:b/>
        <w:bCs/>
      </w:rPr>
      <w:tblPr/>
      <w:tcPr>
        <w:tcBorders>
          <w:top w:val="single" w:sz="4" w:space="0" w:color="353D30" w:themeColor="text1"/>
          <w:left w:val="single" w:sz="4" w:space="0" w:color="353D30" w:themeColor="text1"/>
          <w:bottom w:val="single" w:sz="4" w:space="0" w:color="353D30" w:themeColor="text1"/>
          <w:right w:val="single" w:sz="4" w:space="0" w:color="353D30" w:themeColor="text1"/>
          <w:insideH w:val="single" w:sz="4" w:space="0" w:color="353D30" w:themeColor="text1"/>
          <w:insideV w:val="single" w:sz="4" w:space="0" w:color="353D30" w:themeColor="text1"/>
          <w:tl2br w:val="nil"/>
          <w:tr2bl w:val="nil"/>
        </w:tcBorders>
      </w:tcPr>
    </w:tblStylePr>
    <w:tblStylePr w:type="firstCol">
      <w:rPr>
        <w:b/>
        <w:bCs/>
      </w:rPr>
    </w:tblStylePr>
    <w:tblStylePr w:type="lastCol">
      <w:rPr>
        <w:b/>
        <w:bCs/>
      </w:rPr>
    </w:tblStylePr>
    <w:tblStylePr w:type="band1Vert">
      <w:tblPr/>
      <w:tcPr>
        <w:tcBorders>
          <w:top w:val="nil"/>
          <w:bottom w:val="single" w:sz="4" w:space="0" w:color="353D30" w:themeColor="text1"/>
        </w:tcBorders>
      </w:tcPr>
    </w:tblStylePr>
    <w:tblStylePr w:type="band1Horz">
      <w:tblPr/>
      <w:tcPr>
        <w:tcBorders>
          <w:top w:val="single" w:sz="4" w:space="0" w:color="353D30" w:themeColor="text1"/>
          <w:bottom w:val="single" w:sz="4" w:space="0" w:color="353D30" w:themeColor="text1"/>
        </w:tcBorders>
        <w:shd w:val="clear" w:color="auto" w:fill="C4E58E" w:themeFill="accent5"/>
      </w:tcPr>
    </w:tblStylePr>
    <w:tblStylePr w:type="band2Horz">
      <w:tblPr/>
      <w:tcPr>
        <w:tcBorders>
          <w:top w:val="nil"/>
          <w:bottom w:val="nil"/>
          <w:insideH w:val="nil"/>
          <w:insideV w:val="nil"/>
        </w:tcBorders>
      </w:tcPr>
    </w:tblStylePr>
  </w:style>
  <w:style w:type="table" w:customStyle="1" w:styleId="MediumShading2-Accent11">
    <w:name w:val="Medium Shading 2 - Accent 11"/>
    <w:basedOn w:val="TableNormal"/>
    <w:uiPriority w:val="64"/>
    <w:rsid w:val="00BC3104"/>
    <w:pPr>
      <w:spacing w:after="0" w:line="240" w:lineRule="auto"/>
    </w:p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7AB800" w:themeFill="accent1"/>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7AB800" w:themeFill="accent1"/>
      </w:tcPr>
    </w:tblStylePr>
    <w:tblStylePr w:type="lastCol">
      <w:rPr>
        <w:b/>
        <w:bCs/>
        <w:color w:val="FFFFFF" w:themeColor="background1"/>
      </w:rPr>
      <w:tblPr/>
      <w:tcPr>
        <w:tcBorders>
          <w:left w:val="nil"/>
          <w:right w:val="nil"/>
          <w:insideH w:val="nil"/>
          <w:insideV w:val="nil"/>
        </w:tcBorders>
        <w:shd w:val="clear" w:color="auto" w:fill="7AB8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nil"/>
          <w:left w:val="nil"/>
          <w:bottom w:val="nil"/>
          <w:right w:val="nil"/>
          <w:insideH w:val="nil"/>
          <w:insideV w:val="nil"/>
          <w:tl2br w:val="nil"/>
          <w:tr2bl w:val="nil"/>
        </w:tcBorders>
      </w:tcPr>
    </w:tblStylePr>
    <w:tblStylePr w:type="nwCell">
      <w:rPr>
        <w:color w:val="FFFFFF" w:themeColor="background1"/>
      </w:rPr>
      <w:tblPr/>
      <w:tcPr>
        <w:tcBorders>
          <w:top w:val="nil"/>
          <w:left w:val="nil"/>
          <w:bottom w:val="nil"/>
          <w:right w:val="nil"/>
          <w:insideH w:val="nil"/>
          <w:insideV w:val="nil"/>
          <w:tl2br w:val="nil"/>
          <w:tr2bl w:val="nil"/>
        </w:tcBorders>
      </w:tcPr>
    </w:tblStylePr>
  </w:style>
  <w:style w:type="table" w:customStyle="1" w:styleId="MediumList1-Accent11">
    <w:name w:val="Medium List 1 - Accent 11"/>
    <w:basedOn w:val="TableNormal"/>
    <w:uiPriority w:val="65"/>
    <w:rsid w:val="00BC3104"/>
    <w:pPr>
      <w:spacing w:after="0" w:line="240" w:lineRule="auto"/>
    </w:pPr>
    <w:rPr>
      <w:color w:val="353D30" w:themeColor="text1"/>
    </w:rPr>
    <w:tblPr>
      <w:tblStyleRowBandSize w:val="1"/>
      <w:tblStyleColBandSize w:val="1"/>
      <w:tblInd w:w="0" w:type="dxa"/>
      <w:tblBorders>
        <w:top w:val="single" w:sz="8" w:space="0" w:color="7AB800" w:themeColor="accent1"/>
        <w:bottom w:val="single" w:sz="8" w:space="0" w:color="7AB800"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B800" w:themeColor="accent1"/>
        </w:tcBorders>
      </w:tcPr>
    </w:tblStylePr>
    <w:tblStylePr w:type="lastRow">
      <w:rPr>
        <w:b/>
        <w:bCs/>
        <w:color w:val="009FDA" w:themeColor="text2"/>
      </w:rPr>
      <w:tblPr/>
      <w:tcPr>
        <w:tcBorders>
          <w:top w:val="single" w:sz="8" w:space="0" w:color="7AB800" w:themeColor="accent1"/>
          <w:bottom w:val="single" w:sz="8" w:space="0" w:color="7AB800" w:themeColor="accent1"/>
        </w:tcBorders>
      </w:tcPr>
    </w:tblStylePr>
    <w:tblStylePr w:type="firstCol">
      <w:rPr>
        <w:b/>
        <w:bCs/>
      </w:rPr>
    </w:tblStylePr>
    <w:tblStylePr w:type="lastCol">
      <w:rPr>
        <w:b/>
        <w:bCs/>
      </w:rPr>
      <w:tblPr/>
      <w:tcPr>
        <w:tcBorders>
          <w:top w:val="single" w:sz="8" w:space="0" w:color="7AB800" w:themeColor="accent1"/>
          <w:bottom w:val="single" w:sz="8" w:space="0" w:color="7AB800" w:themeColor="accent1"/>
        </w:tcBorders>
      </w:tcPr>
    </w:tblStylePr>
    <w:tblStylePr w:type="band1Vert">
      <w:tblPr/>
      <w:tcPr>
        <w:shd w:val="clear" w:color="auto" w:fill="DBEFBB" w:themeFill="accent5" w:themeFillTint="99"/>
      </w:tcPr>
    </w:tblStylePr>
    <w:tblStylePr w:type="band1Horz">
      <w:tblPr/>
      <w:tcPr>
        <w:shd w:val="clear" w:color="auto" w:fill="DBEFBB" w:themeFill="accent5" w:themeFillTint="99"/>
      </w:tcPr>
    </w:tblStylePr>
  </w:style>
  <w:style w:type="table" w:styleId="MediumList2-Accent1">
    <w:name w:val="Medium List 2 Accent 1"/>
    <w:basedOn w:val="TableNormal"/>
    <w:uiPriority w:val="66"/>
    <w:rsid w:val="00BC3104"/>
    <w:pPr>
      <w:spacing w:after="0" w:line="240" w:lineRule="auto"/>
    </w:pPr>
    <w:rPr>
      <w:rFonts w:asciiTheme="majorHAnsi" w:eastAsiaTheme="majorEastAsia" w:hAnsiTheme="majorHAnsi" w:cstheme="majorBidi"/>
      <w:color w:val="353D30" w:themeColor="text1"/>
    </w:r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tblBorders>
      <w:tblCellMar>
        <w:top w:w="0" w:type="dxa"/>
        <w:left w:w="108" w:type="dxa"/>
        <w:bottom w:w="0" w:type="dxa"/>
        <w:right w:w="108" w:type="dxa"/>
      </w:tblCellMar>
    </w:tblPr>
    <w:tblStylePr w:type="firstRow">
      <w:rPr>
        <w:sz w:val="24"/>
        <w:szCs w:val="24"/>
      </w:rPr>
      <w:tblPr/>
      <w:tcPr>
        <w:tcBorders>
          <w:top w:val="nil"/>
          <w:left w:val="nil"/>
          <w:bottom w:val="single" w:sz="18" w:space="0" w:color="7AB800" w:themeColor="accent1"/>
          <w:right w:val="nil"/>
          <w:insideH w:val="nil"/>
          <w:insideV w:val="nil"/>
        </w:tcBorders>
        <w:shd w:val="clear" w:color="auto" w:fill="FFFFFF" w:themeFill="background1"/>
      </w:tcPr>
    </w:tblStylePr>
    <w:tblStylePr w:type="lastRow">
      <w:tblPr/>
      <w:tcPr>
        <w:tcBorders>
          <w:top w:val="single" w:sz="8" w:space="0" w:color="7AB8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B800" w:themeColor="accent1"/>
          <w:insideH w:val="nil"/>
          <w:insideV w:val="nil"/>
        </w:tcBorders>
        <w:shd w:val="clear" w:color="auto" w:fill="FFFFFF" w:themeFill="background1"/>
      </w:tcPr>
    </w:tblStylePr>
    <w:tblStylePr w:type="lastCol">
      <w:tblPr/>
      <w:tcPr>
        <w:tcBorders>
          <w:top w:val="nil"/>
          <w:left w:val="single" w:sz="8" w:space="0" w:color="7AB800" w:themeColor="accent1"/>
          <w:bottom w:val="nil"/>
          <w:right w:val="nil"/>
          <w:insideH w:val="nil"/>
          <w:insideV w:val="nil"/>
        </w:tcBorders>
        <w:shd w:val="clear" w:color="auto" w:fill="FFFFFF" w:themeFill="background1"/>
      </w:tcPr>
    </w:tblStylePr>
    <w:tblStylePr w:type="band1Vert">
      <w:tblPr/>
      <w:tcPr>
        <w:shd w:val="clear" w:color="auto" w:fill="C4E58E" w:themeFill="accent5"/>
      </w:tcPr>
    </w:tblStylePr>
    <w:tblStylePr w:type="band1Horz">
      <w:tblPr/>
      <w:tcPr>
        <w:shd w:val="clear" w:color="auto" w:fill="C4E58E" w:themeFill="accent5"/>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BC3104"/>
    <w:pPr>
      <w:spacing w:after="0" w:line="240" w:lineRule="auto"/>
    </w:pPr>
    <w:tblPr>
      <w:tblStyleRowBandSize w:val="1"/>
      <w:tblStyleColBandSize w:val="1"/>
      <w:tblInd w:w="0" w:type="dxa"/>
      <w:tblBorders>
        <w:top w:val="single" w:sz="2" w:space="0" w:color="7AB800" w:themeColor="accent1"/>
        <w:left w:val="single" w:sz="2" w:space="0" w:color="7AB800" w:themeColor="accent1"/>
        <w:bottom w:val="single" w:sz="2" w:space="0" w:color="7AB800" w:themeColor="accent1"/>
        <w:right w:val="single" w:sz="2" w:space="0" w:color="7AB800" w:themeColor="accent1"/>
        <w:insideH w:val="single" w:sz="2" w:space="0" w:color="7AB800" w:themeColor="accent1"/>
        <w:insideV w:val="single" w:sz="2" w:space="0" w:color="7AB800" w:themeColor="accent1"/>
      </w:tblBorders>
      <w:tblCellMar>
        <w:top w:w="0" w:type="dxa"/>
        <w:left w:w="108" w:type="dxa"/>
        <w:bottom w:w="0" w:type="dxa"/>
        <w:right w:w="108" w:type="dxa"/>
      </w:tblCellMar>
    </w:tblPr>
    <w:tcPr>
      <w:shd w:val="clear" w:color="auto" w:fill="C4E58E" w:themeFill="accent5"/>
    </w:tcPr>
    <w:tblStylePr w:type="firstRow">
      <w:rPr>
        <w:b/>
        <w:bCs/>
      </w:rPr>
    </w:tblStylePr>
    <w:tblStylePr w:type="lastRow">
      <w:rPr>
        <w:b/>
        <w:bCs/>
      </w:rPr>
      <w:tblPr/>
      <w:tcPr>
        <w:tcBorders>
          <w:top w:val="single" w:sz="18" w:space="0" w:color="ACFF0A" w:themeColor="accent1" w:themeTint="BF"/>
        </w:tcBorders>
      </w:tcPr>
    </w:tblStylePr>
    <w:tblStylePr w:type="firstCol">
      <w:rPr>
        <w:b/>
        <w:bCs/>
      </w:rPr>
    </w:tblStylePr>
    <w:tblStylePr w:type="lastCol">
      <w:rPr>
        <w:b/>
        <w:bCs/>
      </w:rPr>
    </w:tblStylePr>
    <w:tblStylePr w:type="band1Vert">
      <w:tblPr/>
      <w:tcPr>
        <w:shd w:val="clear" w:color="auto" w:fill="C4E58E" w:themeFill="accent5"/>
      </w:tcPr>
    </w:tblStylePr>
    <w:tblStylePr w:type="band1Horz">
      <w:tblPr/>
      <w:tcPr>
        <w:shd w:val="clear" w:color="auto" w:fill="E7F4D1" w:themeFill="accent5" w:themeFillTint="66"/>
      </w:tcPr>
    </w:tblStylePr>
  </w:style>
  <w:style w:type="table" w:styleId="MediumGrid2-Accent1">
    <w:name w:val="Medium Grid 2 Accent 1"/>
    <w:basedOn w:val="TableNormal"/>
    <w:uiPriority w:val="68"/>
    <w:rsid w:val="005B57DB"/>
    <w:pPr>
      <w:spacing w:after="0" w:line="240" w:lineRule="auto"/>
    </w:pPr>
    <w:rPr>
      <w:rFonts w:asciiTheme="majorHAnsi" w:eastAsiaTheme="majorEastAsia" w:hAnsiTheme="majorHAnsi" w:cstheme="majorBidi"/>
      <w:color w:val="353D30" w:themeColor="text1"/>
    </w:r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insideH w:val="single" w:sz="8" w:space="0" w:color="7AB800" w:themeColor="accent1"/>
        <w:insideV w:val="single" w:sz="8" w:space="0" w:color="7AB800" w:themeColor="accent1"/>
      </w:tblBorders>
      <w:tblCellMar>
        <w:top w:w="0" w:type="dxa"/>
        <w:left w:w="108" w:type="dxa"/>
        <w:bottom w:w="0" w:type="dxa"/>
        <w:right w:w="108" w:type="dxa"/>
      </w:tblCellMar>
    </w:tblPr>
    <w:tcPr>
      <w:shd w:val="clear" w:color="auto" w:fill="FFFFFF" w:themeFill="background1"/>
      <w:vAlign w:val="center"/>
    </w:tcPr>
    <w:tblStylePr w:type="firstRow">
      <w:rPr>
        <w:b/>
        <w:bCs/>
        <w:color w:val="353D30" w:themeColor="text1"/>
      </w:rPr>
      <w:tblPr/>
      <w:tcPr>
        <w:shd w:val="clear" w:color="auto" w:fill="E7F4D1" w:themeFill="accent5" w:themeFillTint="66"/>
      </w:tcPr>
    </w:tblStylePr>
    <w:tblStylePr w:type="lastRow">
      <w:rPr>
        <w:b/>
        <w:bCs/>
        <w:color w:val="353D30" w:themeColor="text1"/>
      </w:rPr>
      <w:tblPr/>
      <w:tcPr>
        <w:tcBorders>
          <w:top w:val="single" w:sz="12" w:space="0" w:color="353D30" w:themeColor="text1"/>
          <w:left w:val="nil"/>
          <w:bottom w:val="nil"/>
          <w:right w:val="nil"/>
          <w:insideH w:val="nil"/>
          <w:insideV w:val="nil"/>
        </w:tcBorders>
        <w:shd w:val="clear" w:color="auto" w:fill="FFFFFF" w:themeFill="background1"/>
      </w:tcPr>
    </w:tblStylePr>
    <w:tblStylePr w:type="firstCol">
      <w:rPr>
        <w:b/>
        <w:bCs/>
        <w:color w:val="353D3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53D30" w:themeColor="text1"/>
      </w:rPr>
      <w:tblPr/>
      <w:tcPr>
        <w:shd w:val="clear" w:color="auto" w:fill="E7F4D1" w:themeFill="accent5" w:themeFillTint="66"/>
      </w:tcPr>
    </w:tblStylePr>
    <w:tblStylePr w:type="band1Vert">
      <w:tblPr/>
      <w:tcPr>
        <w:shd w:val="clear" w:color="auto" w:fill="C4E58E" w:themeFill="accent5"/>
      </w:tcPr>
    </w:tblStylePr>
    <w:tblStylePr w:type="band1Horz">
      <w:tblPr/>
      <w:tcPr>
        <w:shd w:val="clear" w:color="auto" w:fill="C4E58E" w:themeFill="accent5"/>
      </w:tcPr>
    </w:tblStylePr>
    <w:tblStylePr w:type="nwCell">
      <w:tblPr/>
      <w:tcPr>
        <w:shd w:val="clear" w:color="auto" w:fill="FFFFFF" w:themeFill="background1"/>
      </w:tcPr>
    </w:tblStylePr>
  </w:style>
  <w:style w:type="table" w:styleId="MediumGrid3-Accent1">
    <w:name w:val="Medium Grid 3 Accent 1"/>
    <w:basedOn w:val="TableNormal"/>
    <w:uiPriority w:val="69"/>
    <w:rsid w:val="005B57DB"/>
    <w:pPr>
      <w:spacing w:before="40" w:after="4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FFAE" w:themeFill="accent1" w:themeFillTint="3F"/>
      <w:vAlign w:val="center"/>
    </w:tcPr>
    <w:tblStylePr w:type="firstRow">
      <w:pPr>
        <w:jc w:val="left"/>
      </w:pPr>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B800" w:themeFill="accent1"/>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B8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B8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B800" w:themeFill="accent1"/>
      </w:tcPr>
    </w:tblStylePr>
    <w:tblStylePr w:type="band1Vert">
      <w:tblPr/>
      <w:tcPr>
        <w:shd w:val="clear" w:color="auto" w:fill="A2D64E"/>
      </w:tcPr>
    </w:tblStylePr>
    <w:tblStylePr w:type="band2Vert">
      <w:tblPr/>
      <w:tcPr>
        <w:shd w:val="clear" w:color="auto" w:fill="C4E58E" w:themeFill="accent5"/>
      </w:tcPr>
    </w:tblStylePr>
    <w:tblStylePr w:type="band1Horz">
      <w:tblPr/>
      <w:tcPr>
        <w:shd w:val="clear" w:color="auto" w:fill="C4E58E" w:themeFill="accent5"/>
      </w:tcPr>
    </w:tblStylePr>
  </w:style>
  <w:style w:type="table" w:styleId="ColorfulGrid-Accent1">
    <w:name w:val="Colorful Grid Accent 1"/>
    <w:basedOn w:val="TableNormal"/>
    <w:uiPriority w:val="73"/>
    <w:rsid w:val="00FE6C0A"/>
    <w:pPr>
      <w:spacing w:after="0" w:line="240" w:lineRule="auto"/>
    </w:pPr>
    <w:rPr>
      <w:color w:val="353D30" w:themeColor="text1"/>
    </w:rPr>
    <w:tblPr>
      <w:tblStyleRowBandSize w:val="1"/>
      <w:tblStyleColBandSize w:val="1"/>
      <w:tblInd w:w="0"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0" w:type="dxa"/>
        <w:left w:w="108" w:type="dxa"/>
        <w:bottom w:w="0" w:type="dxa"/>
        <w:right w:w="108" w:type="dxa"/>
      </w:tblCellMar>
    </w:tblPr>
    <w:tcPr>
      <w:shd w:val="clear" w:color="auto" w:fill="FFFFFF" w:themeFill="background1"/>
      <w:vAlign w:val="center"/>
    </w:tc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color w:val="353D30" w:themeColor="text1"/>
      </w:rPr>
      <w:tblPr/>
      <w:tcPr>
        <w:shd w:val="clear" w:color="auto" w:fill="D2FF7C" w:themeFill="accent1" w:themeFillTint="66"/>
      </w:tcPr>
    </w:tblStylePr>
    <w:tblStylePr w:type="firstCol">
      <w:rPr>
        <w:color w:val="7AB800" w:themeColor="accent1"/>
      </w:rPr>
      <w:tblPr/>
      <w:tcPr>
        <w:shd w:val="clear" w:color="auto" w:fill="7AB800" w:themeFill="accent1"/>
      </w:tcPr>
    </w:tblStylePr>
    <w:tblStylePr w:type="lastCol">
      <w:rPr>
        <w:color w:val="FFFFFF" w:themeColor="background1"/>
      </w:rPr>
      <w:tblPr/>
      <w:tcPr>
        <w:shd w:val="clear" w:color="auto" w:fill="7AB800" w:themeFill="accent1"/>
      </w:tcPr>
    </w:tblStylePr>
    <w:tblStylePr w:type="band1Vert">
      <w:tblPr/>
      <w:tcPr>
        <w:shd w:val="clear" w:color="auto" w:fill="C4E58E" w:themeFill="accent5"/>
      </w:tcPr>
    </w:tblStylePr>
    <w:tblStylePr w:type="band2Vert">
      <w:tblPr/>
      <w:tcPr>
        <w:shd w:val="clear" w:color="auto" w:fill="C4E58E" w:themeFill="accent5"/>
      </w:tcPr>
    </w:tblStylePr>
    <w:tblStylePr w:type="band1Horz">
      <w:tblPr/>
      <w:tcPr>
        <w:shd w:val="clear" w:color="auto" w:fill="C4E58E" w:themeFill="accent5"/>
      </w:tcPr>
    </w:tblStylePr>
    <w:tblStylePr w:type="band2Horz">
      <w:tblPr/>
      <w:tcPr>
        <w:shd w:val="clear" w:color="auto" w:fill="C4E58E" w:themeFill="accent5"/>
      </w:tcPr>
    </w:tblStylePr>
  </w:style>
  <w:style w:type="table" w:styleId="ColorfulList-Accent1">
    <w:name w:val="Colorful List Accent 1"/>
    <w:basedOn w:val="TableNormal"/>
    <w:uiPriority w:val="72"/>
    <w:rsid w:val="00FE6C0A"/>
    <w:pPr>
      <w:spacing w:after="0" w:line="240" w:lineRule="auto"/>
    </w:pPr>
    <w:rPr>
      <w:color w:val="353D30" w:themeColor="text1"/>
    </w:rPr>
    <w:tblPr>
      <w:tblStyleRowBandSize w:val="1"/>
      <w:tblStyleColBandSize w:val="1"/>
      <w:tblInd w:w="0" w:type="dxa"/>
      <w:tblCellMar>
        <w:top w:w="0" w:type="dxa"/>
        <w:left w:w="108" w:type="dxa"/>
        <w:bottom w:w="0" w:type="dxa"/>
        <w:right w:w="108" w:type="dxa"/>
      </w:tblCellMar>
    </w:tblPr>
    <w:tcPr>
      <w:shd w:val="clear" w:color="auto" w:fill="F4FFDF" w:themeFill="accent1" w:themeFillTint="19"/>
      <w:vAlign w:val="center"/>
    </w:tcPr>
    <w:tblStylePr w:type="firstRow">
      <w:rPr>
        <w:b/>
        <w:bCs/>
        <w:color w:val="FFFFFF" w:themeColor="background1"/>
      </w:rPr>
      <w:tblPr/>
      <w:tcPr>
        <w:shd w:val="clear" w:color="auto" w:fill="7AB800" w:themeFill="accent1"/>
      </w:tcPr>
    </w:tblStylePr>
    <w:tblStylePr w:type="lastRow">
      <w:rPr>
        <w:b/>
        <w:bCs/>
        <w:color w:val="2A3026" w:themeColor="accent2" w:themeShade="CC"/>
      </w:rPr>
      <w:tblPr/>
      <w:tcPr>
        <w:tcBorders>
          <w:top w:val="single" w:sz="12" w:space="0" w:color="353D3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AE" w:themeFill="accent1" w:themeFillTint="3F"/>
      </w:tcPr>
    </w:tblStylePr>
    <w:tblStylePr w:type="band1Horz">
      <w:tblPr/>
      <w:tcPr>
        <w:shd w:val="clear" w:color="auto" w:fill="C4E58E" w:themeFill="accent5"/>
      </w:tcPr>
    </w:tblStylePr>
    <w:tblStylePr w:type="band2Horz">
      <w:tblPr/>
      <w:tcPr>
        <w:shd w:val="clear" w:color="auto" w:fill="F3F9E8" w:themeFill="accent5" w:themeFillTint="33"/>
      </w:tcPr>
    </w:tblStylePr>
  </w:style>
  <w:style w:type="table" w:styleId="ColorfulShading-Accent1">
    <w:name w:val="Colorful Shading Accent 1"/>
    <w:basedOn w:val="TableNormal"/>
    <w:uiPriority w:val="71"/>
    <w:rsid w:val="00FE6C0A"/>
    <w:pPr>
      <w:spacing w:after="0" w:line="240" w:lineRule="auto"/>
    </w:pPr>
    <w:rPr>
      <w:color w:val="353D30" w:themeColor="text1"/>
    </w:rPr>
    <w:tblPr>
      <w:tblStyleRowBandSize w:val="1"/>
      <w:tblStyleColBandSize w:val="1"/>
      <w:tblInd w:w="0" w:type="dxa"/>
      <w:tblBorders>
        <w:bottom w:val="single" w:sz="12" w:space="0" w:color="353D30" w:themeColor="accent2"/>
      </w:tblBorders>
      <w:tblCellMar>
        <w:top w:w="0" w:type="dxa"/>
        <w:left w:w="108" w:type="dxa"/>
        <w:bottom w:w="0" w:type="dxa"/>
        <w:right w:w="108" w:type="dxa"/>
      </w:tblCellMar>
    </w:tblPr>
    <w:tcPr>
      <w:shd w:val="clear" w:color="auto" w:fill="F4FFDF" w:themeFill="accent1" w:themeFillTint="19"/>
      <w:vAlign w:val="center"/>
    </w:tcPr>
    <w:tblStylePr w:type="firstRow">
      <w:pPr>
        <w:jc w:val="left"/>
      </w:pPr>
      <w:rPr>
        <w:b/>
        <w:bCs/>
      </w:rPr>
      <w:tblPr/>
      <w:tcPr>
        <w:tcBorders>
          <w:top w:val="nil"/>
          <w:left w:val="nil"/>
          <w:bottom w:val="single" w:sz="12" w:space="0" w:color="353D30" w:themeColor="accent2"/>
          <w:right w:val="nil"/>
          <w:insideH w:val="nil"/>
          <w:insideV w:val="nil"/>
        </w:tcBorders>
        <w:shd w:val="clear" w:color="auto" w:fill="FFFFFF" w:themeFill="background1"/>
        <w:vAlign w:val="center"/>
      </w:tcPr>
    </w:tblStylePr>
    <w:tblStylePr w:type="lastRow">
      <w:rPr>
        <w:b/>
        <w:bCs/>
        <w:color w:val="FFFFFF" w:themeColor="background1"/>
      </w:rPr>
      <w:tblPr/>
      <w:tcPr>
        <w:tcBorders>
          <w:top w:val="single" w:sz="6" w:space="0" w:color="FFFFFF" w:themeColor="background1"/>
        </w:tcBorders>
        <w:shd w:val="clear" w:color="auto" w:fill="496E00" w:themeFill="accent1" w:themeFillShade="99"/>
      </w:tcPr>
    </w:tblStylePr>
    <w:tblStylePr w:type="firstCol">
      <w:rPr>
        <w:color w:val="FFFFFF" w:themeColor="background1"/>
      </w:rPr>
      <w:tblPr/>
      <w:tcPr>
        <w:tcBorders>
          <w:top w:val="nil"/>
          <w:left w:val="nil"/>
          <w:bottom w:val="nil"/>
          <w:right w:val="nil"/>
          <w:insideH w:val="single" w:sz="4" w:space="0" w:color="496E00" w:themeColor="accent1" w:themeShade="99"/>
          <w:insideV w:val="nil"/>
        </w:tcBorders>
        <w:shd w:val="clear" w:color="auto" w:fill="496E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96E00" w:themeFill="accent1" w:themeFillShade="99"/>
      </w:tcPr>
    </w:tblStylePr>
    <w:tblStylePr w:type="band1Vert">
      <w:tblPr/>
      <w:tcPr>
        <w:shd w:val="clear" w:color="auto" w:fill="C4E58E" w:themeFill="accent5"/>
      </w:tcPr>
    </w:tblStylePr>
    <w:tblStylePr w:type="band2Vert">
      <w:tblPr/>
      <w:tcPr>
        <w:shd w:val="clear" w:color="auto" w:fill="A2D64E"/>
      </w:tcPr>
    </w:tblStylePr>
    <w:tblStylePr w:type="band1Horz">
      <w:tblPr/>
      <w:tcPr>
        <w:shd w:val="clear" w:color="auto" w:fill="C4E58E" w:themeFill="accent5"/>
      </w:tcPr>
    </w:tblStylePr>
    <w:tblStylePr w:type="band2Horz">
      <w:tblPr/>
      <w:tcPr>
        <w:shd w:val="clear" w:color="auto" w:fill="A2D64E"/>
      </w:tcPr>
    </w:tblStylePr>
    <w:tblStylePr w:type="neCell">
      <w:rPr>
        <w:color w:val="353D30" w:themeColor="text1"/>
      </w:rPr>
    </w:tblStylePr>
    <w:tblStylePr w:type="nwCell">
      <w:rPr>
        <w:color w:val="353D30" w:themeColor="text1"/>
      </w:rPr>
    </w:tblStylePr>
  </w:style>
  <w:style w:type="table" w:styleId="DarkList-Accent1">
    <w:name w:val="Dark List Accent 1"/>
    <w:basedOn w:val="TableNormal"/>
    <w:uiPriority w:val="70"/>
    <w:rsid w:val="007170D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B8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53D30" w:themeFill="text1"/>
      </w:tcPr>
    </w:tblStylePr>
    <w:tblStylePr w:type="lastRow">
      <w:tblPr/>
      <w:tcPr>
        <w:tcBorders>
          <w:top w:val="single" w:sz="18" w:space="0" w:color="FFFFFF" w:themeColor="background1"/>
          <w:left w:val="nil"/>
          <w:bottom w:val="nil"/>
          <w:right w:val="nil"/>
          <w:insideH w:val="nil"/>
          <w:insideV w:val="nil"/>
        </w:tcBorders>
        <w:shd w:val="clear" w:color="auto" w:fill="3C5B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B89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B8900" w:themeFill="accent1" w:themeFillShade="BF"/>
      </w:tcPr>
    </w:tblStylePr>
    <w:tblStylePr w:type="band1Vert">
      <w:tblPr/>
      <w:tcPr>
        <w:tcBorders>
          <w:top w:val="nil"/>
          <w:left w:val="nil"/>
          <w:bottom w:val="nil"/>
          <w:right w:val="nil"/>
          <w:insideH w:val="nil"/>
          <w:insideV w:val="nil"/>
        </w:tcBorders>
        <w:shd w:val="clear" w:color="auto" w:fill="5B8900" w:themeFill="accent1" w:themeFillShade="BF"/>
      </w:tcPr>
    </w:tblStylePr>
    <w:tblStylePr w:type="band1Horz">
      <w:tblPr/>
      <w:tcPr>
        <w:tcBorders>
          <w:top w:val="nil"/>
          <w:left w:val="nil"/>
          <w:bottom w:val="nil"/>
          <w:right w:val="nil"/>
          <w:insideH w:val="nil"/>
          <w:insideV w:val="nil"/>
        </w:tcBorders>
        <w:shd w:val="clear" w:color="auto" w:fill="5B8900" w:themeFill="accent1" w:themeFillShade="BF"/>
      </w:tcPr>
    </w:tblStylePr>
  </w:style>
  <w:style w:type="paragraph" w:styleId="TOC5">
    <w:name w:val="toc 5"/>
    <w:basedOn w:val="Normal"/>
    <w:next w:val="Normal"/>
    <w:autoRedefine/>
    <w:uiPriority w:val="39"/>
    <w:rsid w:val="004453A6"/>
    <w:pPr>
      <w:spacing w:after="100"/>
      <w:ind w:left="800"/>
    </w:pPr>
  </w:style>
  <w:style w:type="paragraph" w:styleId="TOC6">
    <w:name w:val="toc 6"/>
    <w:basedOn w:val="Normal"/>
    <w:next w:val="Normal"/>
    <w:autoRedefine/>
    <w:uiPriority w:val="39"/>
    <w:rsid w:val="004453A6"/>
    <w:pPr>
      <w:spacing w:after="100"/>
      <w:ind w:left="1000"/>
    </w:pPr>
  </w:style>
  <w:style w:type="paragraph" w:styleId="TOC7">
    <w:name w:val="toc 7"/>
    <w:basedOn w:val="Normal"/>
    <w:next w:val="Normal"/>
    <w:autoRedefine/>
    <w:uiPriority w:val="39"/>
    <w:rsid w:val="004453A6"/>
    <w:pPr>
      <w:spacing w:after="100"/>
      <w:ind w:left="1200"/>
    </w:pPr>
  </w:style>
  <w:style w:type="paragraph" w:styleId="TOC8">
    <w:name w:val="toc 8"/>
    <w:basedOn w:val="Normal"/>
    <w:next w:val="Normal"/>
    <w:autoRedefine/>
    <w:uiPriority w:val="39"/>
    <w:rsid w:val="004453A6"/>
    <w:pPr>
      <w:spacing w:after="100"/>
      <w:ind w:left="1400"/>
    </w:pPr>
  </w:style>
  <w:style w:type="character" w:styleId="FollowedHyperlink">
    <w:name w:val="FollowedHyperlink"/>
    <w:basedOn w:val="DefaultParagraphFont"/>
    <w:uiPriority w:val="99"/>
    <w:semiHidden/>
    <w:unhideWhenUsed/>
    <w:rsid w:val="00A27E33"/>
    <w:rPr>
      <w:color w:val="auto"/>
      <w:u w:val="single"/>
    </w:rPr>
  </w:style>
  <w:style w:type="paragraph" w:customStyle="1" w:styleId="AppendixTitle">
    <w:name w:val="Appendix Title"/>
    <w:basedOn w:val="PartHeading"/>
    <w:next w:val="NormalIndent"/>
    <w:qFormat/>
    <w:rsid w:val="00AD7D9E"/>
  </w:style>
  <w:style w:type="paragraph" w:styleId="NormalIndent">
    <w:name w:val="Normal Indent"/>
    <w:basedOn w:val="Normal"/>
    <w:uiPriority w:val="99"/>
    <w:semiHidden/>
    <w:rsid w:val="00AD7D9E"/>
    <w:pPr>
      <w:ind w:left="720"/>
    </w:pPr>
  </w:style>
  <w:style w:type="character" w:styleId="CommentReference">
    <w:name w:val="annotation reference"/>
    <w:basedOn w:val="DefaultParagraphFont"/>
    <w:uiPriority w:val="99"/>
    <w:semiHidden/>
    <w:unhideWhenUsed/>
    <w:rsid w:val="00D04C9D"/>
    <w:rPr>
      <w:sz w:val="16"/>
      <w:szCs w:val="16"/>
    </w:rPr>
  </w:style>
  <w:style w:type="paragraph" w:styleId="CommentText">
    <w:name w:val="annotation text"/>
    <w:basedOn w:val="Normal"/>
    <w:link w:val="CommentTextChar"/>
    <w:uiPriority w:val="99"/>
    <w:unhideWhenUsed/>
    <w:rsid w:val="00D04C9D"/>
    <w:pPr>
      <w:spacing w:after="0" w:line="240" w:lineRule="auto"/>
    </w:pPr>
    <w:rPr>
      <w:rFonts w:asciiTheme="minorHAnsi" w:eastAsiaTheme="minorEastAsia" w:hAnsiTheme="minorHAnsi" w:cstheme="minorBidi"/>
      <w:color w:val="353D30" w:themeColor="text1"/>
      <w:lang w:val="en-US"/>
    </w:rPr>
  </w:style>
  <w:style w:type="character" w:customStyle="1" w:styleId="CommentTextChar">
    <w:name w:val="Comment Text Char"/>
    <w:basedOn w:val="DefaultParagraphFont"/>
    <w:link w:val="CommentText"/>
    <w:uiPriority w:val="99"/>
    <w:rsid w:val="00D04C9D"/>
    <w:rPr>
      <w:rFonts w:eastAsiaTheme="minorEastAsia"/>
      <w:color w:val="353D30" w:themeColor="text1"/>
      <w:sz w:val="20"/>
      <w:szCs w:val="20"/>
    </w:rPr>
  </w:style>
  <w:style w:type="paragraph" w:styleId="CommentSubject">
    <w:name w:val="annotation subject"/>
    <w:basedOn w:val="CommentText"/>
    <w:next w:val="CommentText"/>
    <w:link w:val="CommentSubjectChar"/>
    <w:uiPriority w:val="99"/>
    <w:semiHidden/>
    <w:rsid w:val="005C6358"/>
    <w:pPr>
      <w:spacing w:after="142"/>
    </w:pPr>
    <w:rPr>
      <w:rFonts w:ascii="Arial" w:eastAsiaTheme="minorHAnsi" w:hAnsi="Arial" w:cs="Arial"/>
      <w:b/>
      <w:bCs/>
      <w:color w:val="auto"/>
      <w:lang w:val="en-AU"/>
    </w:rPr>
  </w:style>
  <w:style w:type="character" w:customStyle="1" w:styleId="CommentSubjectChar">
    <w:name w:val="Comment Subject Char"/>
    <w:basedOn w:val="CommentTextChar"/>
    <w:link w:val="CommentSubject"/>
    <w:uiPriority w:val="99"/>
    <w:semiHidden/>
    <w:rsid w:val="005C6358"/>
    <w:rPr>
      <w:rFonts w:ascii="Arial" w:eastAsiaTheme="minorEastAsia" w:hAnsi="Arial" w:cs="Arial"/>
      <w:b/>
      <w:bCs/>
      <w:color w:val="353D30" w:themeColor="text1"/>
      <w:sz w:val="20"/>
      <w:szCs w:val="20"/>
      <w:lang w:val="en-AU"/>
    </w:rPr>
  </w:style>
  <w:style w:type="table" w:styleId="LightShading-Accent3">
    <w:name w:val="Light Shading Accent 3"/>
    <w:basedOn w:val="TableNormal"/>
    <w:uiPriority w:val="60"/>
    <w:rsid w:val="006F71EC"/>
    <w:pPr>
      <w:spacing w:after="0" w:line="240" w:lineRule="auto"/>
    </w:pPr>
    <w:rPr>
      <w:color w:val="8A9285" w:themeColor="accent3" w:themeShade="BF"/>
      <w:lang w:val="en-GB"/>
    </w:rPr>
    <w:tblPr>
      <w:tblStyleRowBandSize w:val="1"/>
      <w:tblStyleColBandSize w:val="1"/>
      <w:tblInd w:w="0" w:type="dxa"/>
      <w:tblBorders>
        <w:top w:val="single" w:sz="8" w:space="0" w:color="BABFB7" w:themeColor="accent3"/>
        <w:bottom w:val="single" w:sz="8" w:space="0" w:color="BABFB7"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ABFB7" w:themeColor="accent3"/>
          <w:left w:val="nil"/>
          <w:bottom w:val="single" w:sz="8" w:space="0" w:color="BABFB7" w:themeColor="accent3"/>
          <w:right w:val="nil"/>
          <w:insideH w:val="nil"/>
          <w:insideV w:val="nil"/>
        </w:tcBorders>
      </w:tcPr>
    </w:tblStylePr>
    <w:tblStylePr w:type="lastRow">
      <w:pPr>
        <w:spacing w:before="0" w:after="0" w:line="240" w:lineRule="auto"/>
      </w:pPr>
      <w:rPr>
        <w:b/>
        <w:bCs/>
      </w:rPr>
      <w:tblPr/>
      <w:tcPr>
        <w:tcBorders>
          <w:top w:val="single" w:sz="8" w:space="0" w:color="BABFB7" w:themeColor="accent3"/>
          <w:left w:val="nil"/>
          <w:bottom w:val="single" w:sz="8" w:space="0" w:color="BABFB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FED" w:themeFill="accent3" w:themeFillTint="3F"/>
      </w:tcPr>
    </w:tblStylePr>
    <w:tblStylePr w:type="band1Horz">
      <w:tblPr/>
      <w:tcPr>
        <w:tcBorders>
          <w:left w:val="nil"/>
          <w:right w:val="nil"/>
          <w:insideH w:val="nil"/>
          <w:insideV w:val="nil"/>
        </w:tcBorders>
        <w:shd w:val="clear" w:color="auto" w:fill="EDEFED" w:themeFill="accent3" w:themeFillTint="3F"/>
      </w:tcPr>
    </w:tblStylePr>
  </w:style>
  <w:style w:type="character" w:styleId="PageNumber">
    <w:name w:val="page number"/>
    <w:basedOn w:val="DefaultParagraphFont"/>
    <w:uiPriority w:val="99"/>
    <w:semiHidden/>
    <w:unhideWhenUsed/>
    <w:rsid w:val="001C6D76"/>
  </w:style>
  <w:style w:type="paragraph" w:styleId="NormalWeb">
    <w:name w:val="Normal (Web)"/>
    <w:basedOn w:val="Normal"/>
    <w:uiPriority w:val="99"/>
    <w:semiHidden/>
    <w:unhideWhenUsed/>
    <w:rsid w:val="00383D43"/>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apple-style-span">
    <w:name w:val="apple-style-span"/>
    <w:basedOn w:val="DefaultParagraphFont"/>
    <w:rsid w:val="009A1FDA"/>
  </w:style>
  <w:style w:type="table" w:customStyle="1" w:styleId="Style21">
    <w:name w:val="Style21"/>
    <w:basedOn w:val="LightShading-Accent4"/>
    <w:uiPriority w:val="99"/>
    <w:qFormat/>
    <w:rsid w:val="009A1FDA"/>
    <w:pPr>
      <w:spacing w:before="30" w:after="30"/>
    </w:pPr>
    <w:rPr>
      <w:rFonts w:ascii="Arial" w:hAnsi="Arial"/>
      <w:color w:val="7AB800" w:themeColor="accent1"/>
      <w:sz w:val="18"/>
      <w:szCs w:val="20"/>
      <w:lang w:val="en-AU" w:eastAsia="en-AU"/>
    </w:rPr>
    <w:tblPr>
      <w:tblStyleRowBandSize w:val="1"/>
      <w:tblStyleColBandSize w:val="1"/>
      <w:tblInd w:w="0" w:type="dxa"/>
      <w:tblBorders>
        <w:top w:val="single" w:sz="8" w:space="0" w:color="EFF0EF" w:themeColor="accent4"/>
        <w:bottom w:val="single" w:sz="4" w:space="0" w:color="7AB8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4" w:space="0" w:color="7AB800" w:themeColor="accent1"/>
          <w:left w:val="nil"/>
          <w:bottom w:val="single" w:sz="4" w:space="0" w:color="7AB800" w:themeColor="accent1"/>
          <w:right w:val="nil"/>
          <w:insideH w:val="nil"/>
          <w:insideV w:val="nil"/>
        </w:tcBorders>
      </w:tcPr>
    </w:tblStylePr>
    <w:tblStylePr w:type="lastRow">
      <w:pPr>
        <w:spacing w:before="0" w:after="0" w:line="240" w:lineRule="auto"/>
      </w:pPr>
      <w:rPr>
        <w:b/>
        <w:bCs/>
      </w:rPr>
      <w:tblPr/>
      <w:tcPr>
        <w:tcBorders>
          <w:top w:val="single" w:sz="4" w:space="0" w:color="7AB800" w:themeColor="accent1"/>
          <w:left w:val="nil"/>
          <w:bottom w:val="single" w:sz="4" w:space="0" w:color="7AB800" w:themeColor="accen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4" w:themeFillTint="3F"/>
      </w:tcPr>
    </w:tblStylePr>
    <w:tblStylePr w:type="band1Horz">
      <w:tblPr/>
      <w:tcPr>
        <w:tcBorders>
          <w:left w:val="nil"/>
          <w:right w:val="nil"/>
          <w:insideH w:val="nil"/>
          <w:insideV w:val="nil"/>
        </w:tcBorders>
        <w:shd w:val="clear" w:color="auto" w:fill="FBFBFB" w:themeFill="accent4" w:themeFillTint="3F"/>
      </w:tcPr>
    </w:tblStylePr>
    <w:tblStylePr w:type="band2Horz">
      <w:tblPr/>
      <w:tcPr>
        <w:shd w:val="clear" w:color="auto" w:fill="C4E58E"/>
      </w:tcPr>
    </w:tblStylePr>
  </w:style>
  <w:style w:type="paragraph" w:customStyle="1" w:styleId="Source">
    <w:name w:val="Source"/>
    <w:basedOn w:val="Normal"/>
    <w:qFormat/>
    <w:rsid w:val="00BA72D5"/>
    <w:rPr>
      <w:i/>
      <w:sz w:val="16"/>
      <w:szCs w:val="18"/>
    </w:rPr>
  </w:style>
  <w:style w:type="character" w:customStyle="1" w:styleId="Bullet1Char">
    <w:name w:val="Bullet 1 Char"/>
    <w:link w:val="Bullet1"/>
    <w:locked/>
    <w:rsid w:val="00B233CC"/>
    <w:rPr>
      <w:rFonts w:ascii="Arial" w:hAnsi="Arial" w:cs="Arial"/>
      <w:sz w:val="20"/>
      <w:szCs w:val="20"/>
      <w:lang w:val="en-GB"/>
    </w:rPr>
  </w:style>
  <w:style w:type="paragraph" w:customStyle="1" w:styleId="default">
    <w:name w:val="default"/>
    <w:basedOn w:val="Normal"/>
    <w:rsid w:val="00A8340E"/>
    <w:pPr>
      <w:spacing w:after="0" w:line="240" w:lineRule="auto"/>
    </w:pPr>
    <w:rPr>
      <w:rFonts w:ascii="Times New Roman" w:hAnsi="Times New Roman" w:cs="Times New Roman"/>
      <w:sz w:val="24"/>
      <w:szCs w:val="24"/>
      <w:lang w:eastAsia="en-AU"/>
    </w:rPr>
  </w:style>
  <w:style w:type="paragraph" w:styleId="BodyText">
    <w:name w:val="Body Text"/>
    <w:basedOn w:val="Normal"/>
    <w:link w:val="BodyTextChar"/>
    <w:qFormat/>
    <w:rsid w:val="00204661"/>
  </w:style>
  <w:style w:type="character" w:customStyle="1" w:styleId="BodyTextChar">
    <w:name w:val="Body Text Char"/>
    <w:basedOn w:val="DefaultParagraphFont"/>
    <w:link w:val="BodyText"/>
    <w:rsid w:val="00204661"/>
    <w:rPr>
      <w:rFonts w:ascii="Arial" w:hAnsi="Arial" w:cs="Arial"/>
      <w:sz w:val="20"/>
      <w:szCs w:val="20"/>
      <w:lang w:val="en-AU"/>
    </w:rPr>
  </w:style>
  <w:style w:type="paragraph" w:styleId="FootnoteText">
    <w:name w:val="footnote text"/>
    <w:basedOn w:val="Normal"/>
    <w:link w:val="FootnoteTextChar"/>
    <w:uiPriority w:val="99"/>
    <w:semiHidden/>
    <w:rsid w:val="00706642"/>
    <w:pPr>
      <w:spacing w:after="0" w:line="240" w:lineRule="auto"/>
    </w:pPr>
  </w:style>
  <w:style w:type="character" w:customStyle="1" w:styleId="FootnoteTextChar">
    <w:name w:val="Footnote Text Char"/>
    <w:basedOn w:val="DefaultParagraphFont"/>
    <w:link w:val="FootnoteText"/>
    <w:uiPriority w:val="99"/>
    <w:semiHidden/>
    <w:rsid w:val="00706642"/>
    <w:rPr>
      <w:rFonts w:ascii="Arial" w:hAnsi="Arial" w:cs="Arial"/>
      <w:sz w:val="20"/>
      <w:szCs w:val="20"/>
      <w:lang w:val="en-AU"/>
    </w:rPr>
  </w:style>
  <w:style w:type="character" w:styleId="FootnoteReference">
    <w:name w:val="footnote reference"/>
    <w:basedOn w:val="DefaultParagraphFont"/>
    <w:uiPriority w:val="99"/>
    <w:semiHidden/>
    <w:rsid w:val="00706642"/>
    <w:rPr>
      <w:vertAlign w:val="superscript"/>
    </w:rPr>
  </w:style>
  <w:style w:type="paragraph" w:styleId="Revision">
    <w:name w:val="Revision"/>
    <w:hidden/>
    <w:uiPriority w:val="99"/>
    <w:semiHidden/>
    <w:rsid w:val="00184159"/>
    <w:pPr>
      <w:spacing w:after="0" w:line="240" w:lineRule="auto"/>
    </w:pPr>
    <w:rPr>
      <w:rFonts w:ascii="Arial" w:hAnsi="Arial" w:cs="Arial"/>
      <w:sz w:val="20"/>
      <w:szCs w:val="20"/>
      <w:lang w:val="en-AU"/>
    </w:rPr>
  </w:style>
  <w:style w:type="character" w:customStyle="1" w:styleId="Heading2Char1">
    <w:name w:val="Heading 2 Char1"/>
    <w:basedOn w:val="DefaultParagraphFont"/>
    <w:link w:val="Heading2"/>
    <w:uiPriority w:val="9"/>
    <w:rsid w:val="009245AE"/>
    <w:rPr>
      <w:rFonts w:asciiTheme="majorHAnsi" w:eastAsiaTheme="majorEastAsia" w:hAnsiTheme="majorHAnsi" w:cstheme="majorBidi"/>
      <w:b/>
      <w:bCs/>
      <w:color w:val="353D30" w:themeColor="text1"/>
      <w:sz w:val="36"/>
      <w:szCs w:val="26"/>
      <w:lang w:val="en-GB"/>
    </w:rPr>
  </w:style>
  <w:style w:type="paragraph" w:customStyle="1" w:styleId="ColumnHeading">
    <w:name w:val="ColumnHeading"/>
    <w:basedOn w:val="Normal"/>
    <w:rsid w:val="0069640F"/>
    <w:pPr>
      <w:spacing w:before="60" w:after="60" w:line="240" w:lineRule="auto"/>
    </w:pPr>
    <w:rPr>
      <w:b/>
      <w:bCs/>
      <w:color w:val="002D62"/>
      <w:lang w:eastAsia="en-GB"/>
    </w:rPr>
  </w:style>
  <w:style w:type="paragraph" w:customStyle="1" w:styleId="AppendixHeading1">
    <w:name w:val="Appendix Heading 1"/>
    <w:next w:val="Normal"/>
    <w:qFormat/>
    <w:rsid w:val="004841C2"/>
    <w:pPr>
      <w:pageBreakBefore/>
    </w:pPr>
    <w:rPr>
      <w:rFonts w:ascii="Arial" w:hAnsi="Arial"/>
      <w:b/>
      <w:color w:val="7AB800" w:themeColor="accent1"/>
      <w:sz w:val="48"/>
      <w:lang w:val="en-AU"/>
    </w:rPr>
  </w:style>
  <w:style w:type="paragraph" w:customStyle="1" w:styleId="xl63">
    <w:name w:val="xl63"/>
    <w:basedOn w:val="Normal"/>
    <w:rsid w:val="004538EA"/>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lang w:eastAsia="en-GB"/>
    </w:rPr>
  </w:style>
  <w:style w:type="paragraph" w:customStyle="1" w:styleId="xl64">
    <w:name w:val="xl64"/>
    <w:basedOn w:val="Normal"/>
    <w:rsid w:val="004538EA"/>
    <w:pPr>
      <w:pBdr>
        <w:top w:val="single" w:sz="8" w:space="0" w:color="auto"/>
        <w:bottom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lang w:eastAsia="en-GB"/>
    </w:rPr>
  </w:style>
  <w:style w:type="paragraph" w:customStyle="1" w:styleId="xl65">
    <w:name w:val="xl65"/>
    <w:basedOn w:val="Normal"/>
    <w:rsid w:val="004538EA"/>
    <w:pPr>
      <w:pBdr>
        <w:top w:val="single" w:sz="8" w:space="0" w:color="auto"/>
        <w:bottom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lang w:eastAsia="en-GB"/>
    </w:rPr>
  </w:style>
  <w:style w:type="paragraph" w:customStyle="1" w:styleId="xl66">
    <w:name w:val="xl66"/>
    <w:basedOn w:val="Normal"/>
    <w:rsid w:val="004538E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en-GB"/>
    </w:rPr>
  </w:style>
  <w:style w:type="paragraph" w:customStyle="1" w:styleId="xl67">
    <w:name w:val="xl67"/>
    <w:basedOn w:val="Normal"/>
    <w:rsid w:val="004538E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68">
    <w:name w:val="xl68"/>
    <w:basedOn w:val="Normal"/>
    <w:rsid w:val="004538E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lang w:eastAsia="en-GB"/>
    </w:rPr>
  </w:style>
  <w:style w:type="paragraph" w:customStyle="1" w:styleId="xl69">
    <w:name w:val="xl69"/>
    <w:basedOn w:val="Normal"/>
    <w:rsid w:val="004538E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lang w:eastAsia="en-GB"/>
    </w:rPr>
  </w:style>
  <w:style w:type="paragraph" w:customStyle="1" w:styleId="xl70">
    <w:name w:val="xl70"/>
    <w:basedOn w:val="Normal"/>
    <w:rsid w:val="004538E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lang w:eastAsia="en-GB"/>
    </w:rPr>
  </w:style>
  <w:style w:type="paragraph" w:customStyle="1" w:styleId="Tables">
    <w:name w:val="Tables"/>
    <w:basedOn w:val="Normal"/>
    <w:link w:val="TablesChar"/>
    <w:qFormat/>
    <w:rsid w:val="00C15878"/>
    <w:pPr>
      <w:spacing w:before="60" w:after="60" w:line="240" w:lineRule="auto"/>
    </w:pPr>
  </w:style>
  <w:style w:type="character" w:customStyle="1" w:styleId="TablesChar">
    <w:name w:val="Tables Char"/>
    <w:basedOn w:val="DefaultParagraphFont"/>
    <w:link w:val="Tables"/>
    <w:rsid w:val="00C15878"/>
    <w:rPr>
      <w:rFonts w:ascii="Arial" w:hAnsi="Arial" w:cs="Arial"/>
      <w:sz w:val="20"/>
      <w:szCs w:val="20"/>
      <w:lang w:val="en-GB"/>
    </w:rPr>
  </w:style>
  <w:style w:type="table" w:styleId="LightGrid-Accent5">
    <w:name w:val="Light Grid Accent 5"/>
    <w:basedOn w:val="TableNormal"/>
    <w:uiPriority w:val="62"/>
    <w:rsid w:val="0077606F"/>
    <w:pPr>
      <w:spacing w:after="0" w:line="240" w:lineRule="auto"/>
    </w:pPr>
    <w:tblPr>
      <w:tblStyleRowBandSize w:val="1"/>
      <w:tblStyleColBandSize w:val="1"/>
      <w:tblInd w:w="0" w:type="dxa"/>
      <w:tblBorders>
        <w:top w:val="single" w:sz="8" w:space="0" w:color="C4E58E" w:themeColor="accent5"/>
        <w:left w:val="single" w:sz="8" w:space="0" w:color="C4E58E" w:themeColor="accent5"/>
        <w:bottom w:val="single" w:sz="8" w:space="0" w:color="C4E58E" w:themeColor="accent5"/>
        <w:right w:val="single" w:sz="8" w:space="0" w:color="C4E58E" w:themeColor="accent5"/>
        <w:insideH w:val="single" w:sz="8" w:space="0" w:color="C4E58E" w:themeColor="accent5"/>
        <w:insideV w:val="single" w:sz="8" w:space="0" w:color="C4E58E"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4E58E" w:themeColor="accent5"/>
          <w:left w:val="single" w:sz="8" w:space="0" w:color="C4E58E" w:themeColor="accent5"/>
          <w:bottom w:val="single" w:sz="18" w:space="0" w:color="C4E58E" w:themeColor="accent5"/>
          <w:right w:val="single" w:sz="8" w:space="0" w:color="C4E58E" w:themeColor="accent5"/>
          <w:insideH w:val="nil"/>
          <w:insideV w:val="single" w:sz="8" w:space="0" w:color="C4E58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E58E" w:themeColor="accent5"/>
          <w:left w:val="single" w:sz="8" w:space="0" w:color="C4E58E" w:themeColor="accent5"/>
          <w:bottom w:val="single" w:sz="8" w:space="0" w:color="C4E58E" w:themeColor="accent5"/>
          <w:right w:val="single" w:sz="8" w:space="0" w:color="C4E58E" w:themeColor="accent5"/>
          <w:insideH w:val="nil"/>
          <w:insideV w:val="single" w:sz="8" w:space="0" w:color="C4E58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E58E" w:themeColor="accent5"/>
          <w:left w:val="single" w:sz="8" w:space="0" w:color="C4E58E" w:themeColor="accent5"/>
          <w:bottom w:val="single" w:sz="8" w:space="0" w:color="C4E58E" w:themeColor="accent5"/>
          <w:right w:val="single" w:sz="8" w:space="0" w:color="C4E58E" w:themeColor="accent5"/>
        </w:tcBorders>
      </w:tcPr>
    </w:tblStylePr>
    <w:tblStylePr w:type="band1Vert">
      <w:tblPr/>
      <w:tcPr>
        <w:tcBorders>
          <w:top w:val="single" w:sz="8" w:space="0" w:color="C4E58E" w:themeColor="accent5"/>
          <w:left w:val="single" w:sz="8" w:space="0" w:color="C4E58E" w:themeColor="accent5"/>
          <w:bottom w:val="single" w:sz="8" w:space="0" w:color="C4E58E" w:themeColor="accent5"/>
          <w:right w:val="single" w:sz="8" w:space="0" w:color="C4E58E" w:themeColor="accent5"/>
        </w:tcBorders>
        <w:shd w:val="clear" w:color="auto" w:fill="F0F8E2" w:themeFill="accent5" w:themeFillTint="3F"/>
      </w:tcPr>
    </w:tblStylePr>
    <w:tblStylePr w:type="band1Horz">
      <w:tblPr/>
      <w:tcPr>
        <w:tcBorders>
          <w:top w:val="single" w:sz="8" w:space="0" w:color="C4E58E" w:themeColor="accent5"/>
          <w:left w:val="single" w:sz="8" w:space="0" w:color="C4E58E" w:themeColor="accent5"/>
          <w:bottom w:val="single" w:sz="8" w:space="0" w:color="C4E58E" w:themeColor="accent5"/>
          <w:right w:val="single" w:sz="8" w:space="0" w:color="C4E58E" w:themeColor="accent5"/>
          <w:insideV w:val="single" w:sz="8" w:space="0" w:color="C4E58E" w:themeColor="accent5"/>
        </w:tcBorders>
        <w:shd w:val="clear" w:color="auto" w:fill="F0F8E2" w:themeFill="accent5" w:themeFillTint="3F"/>
      </w:tcPr>
    </w:tblStylePr>
    <w:tblStylePr w:type="band2Horz">
      <w:tblPr/>
      <w:tcPr>
        <w:tcBorders>
          <w:top w:val="single" w:sz="8" w:space="0" w:color="C4E58E" w:themeColor="accent5"/>
          <w:left w:val="single" w:sz="8" w:space="0" w:color="C4E58E" w:themeColor="accent5"/>
          <w:bottom w:val="single" w:sz="8" w:space="0" w:color="C4E58E" w:themeColor="accent5"/>
          <w:right w:val="single" w:sz="8" w:space="0" w:color="C4E58E" w:themeColor="accent5"/>
          <w:insideV w:val="single" w:sz="8" w:space="0" w:color="C4E58E" w:themeColor="accent5"/>
        </w:tcBorders>
      </w:tcPr>
    </w:tblStylePr>
  </w:style>
  <w:style w:type="paragraph" w:customStyle="1" w:styleId="AppendixHeading">
    <w:name w:val="Appendix Heading"/>
    <w:basedOn w:val="Title"/>
    <w:link w:val="AppendixHeadingChar"/>
    <w:rsid w:val="00A76712"/>
    <w:pPr>
      <w:spacing w:after="0"/>
    </w:pPr>
    <w:rPr>
      <w:bCs/>
      <w:lang w:val="en-AU"/>
    </w:rPr>
  </w:style>
  <w:style w:type="character" w:customStyle="1" w:styleId="AppendixHeadingChar">
    <w:name w:val="Appendix Heading Char"/>
    <w:basedOn w:val="ChapterHeadingChar"/>
    <w:link w:val="AppendixHeading"/>
    <w:rsid w:val="00A76712"/>
    <w:rPr>
      <w:rFonts w:ascii="Arial" w:eastAsiaTheme="majorEastAsia" w:hAnsi="Arial" w:cstheme="majorBidi"/>
      <w:b/>
      <w:bCs/>
      <w:color w:val="7AB800" w:themeColor="accent1"/>
      <w:spacing w:val="5"/>
      <w:kern w:val="28"/>
      <w:sz w:val="70"/>
      <w:szCs w:val="52"/>
      <w:lang w:val="en-AU"/>
    </w:rPr>
  </w:style>
  <w:style w:type="paragraph" w:styleId="ListBullet">
    <w:name w:val="List Bullet"/>
    <w:basedOn w:val="Normal"/>
    <w:semiHidden/>
    <w:rsid w:val="00A76712"/>
    <w:pPr>
      <w:numPr>
        <w:numId w:val="10"/>
      </w:numPr>
      <w:tabs>
        <w:tab w:val="left" w:pos="1418"/>
        <w:tab w:val="left" w:pos="2126"/>
        <w:tab w:val="left" w:pos="2835"/>
      </w:tabs>
      <w:overflowPunct w:val="0"/>
      <w:autoSpaceDE w:val="0"/>
      <w:autoSpaceDN w:val="0"/>
      <w:adjustRightInd w:val="0"/>
      <w:spacing w:after="0" w:line="360" w:lineRule="auto"/>
      <w:textAlignment w:val="baseline"/>
    </w:pPr>
    <w:rPr>
      <w:rFonts w:eastAsia="Times New Roman"/>
      <w:color w:val="000000"/>
    </w:rPr>
  </w:style>
  <w:style w:type="numbering" w:customStyle="1" w:styleId="Style4">
    <w:name w:val="Style4"/>
    <w:uiPriority w:val="99"/>
    <w:rsid w:val="00E922D7"/>
    <w:pPr>
      <w:numPr>
        <w:numId w:val="11"/>
      </w:numPr>
    </w:pPr>
  </w:style>
  <w:style w:type="table" w:customStyle="1" w:styleId="Style31">
    <w:name w:val="Style 31"/>
    <w:basedOn w:val="TableNormal"/>
    <w:uiPriority w:val="99"/>
    <w:qFormat/>
    <w:rsid w:val="001824C5"/>
    <w:pPr>
      <w:spacing w:before="30" w:after="30" w:line="240" w:lineRule="auto"/>
    </w:pPr>
    <w:rPr>
      <w:rFonts w:ascii="Arial" w:hAnsi="Arial"/>
      <w:sz w:val="18"/>
      <w:lang w:val="en-AU"/>
    </w:rPr>
    <w:tblPr>
      <w:tblStyleRowBandSize w:val="1"/>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b/>
        <w:sz w:val="18"/>
      </w:rPr>
      <w:tblPr/>
      <w:tcPr>
        <w:shd w:val="clear" w:color="auto" w:fill="353D30" w:themeFill="accent2"/>
      </w:tcPr>
    </w:tblStylePr>
    <w:tblStylePr w:type="firstCol">
      <w:tblPr/>
      <w:tcPr>
        <w:shd w:val="clear" w:color="auto" w:fill="353D30" w:themeFill="accent2"/>
      </w:tcPr>
    </w:tblStylePr>
    <w:tblStylePr w:type="band2Horz">
      <w:tblPr/>
      <w:tcPr>
        <w:shd w:val="clear" w:color="auto" w:fill="C4E58E"/>
      </w:tcPr>
    </w:tblStylePr>
  </w:style>
  <w:style w:type="paragraph" w:styleId="EndnoteText">
    <w:name w:val="endnote text"/>
    <w:basedOn w:val="Normal"/>
    <w:link w:val="EndnoteTextChar"/>
    <w:uiPriority w:val="99"/>
    <w:semiHidden/>
    <w:rsid w:val="001643D4"/>
    <w:pPr>
      <w:spacing w:after="0" w:line="240" w:lineRule="auto"/>
    </w:pPr>
  </w:style>
  <w:style w:type="character" w:customStyle="1" w:styleId="EndnoteTextChar">
    <w:name w:val="Endnote Text Char"/>
    <w:basedOn w:val="DefaultParagraphFont"/>
    <w:link w:val="EndnoteText"/>
    <w:uiPriority w:val="99"/>
    <w:semiHidden/>
    <w:rsid w:val="001643D4"/>
    <w:rPr>
      <w:rFonts w:ascii="Arial" w:hAnsi="Arial" w:cs="Arial"/>
      <w:sz w:val="20"/>
      <w:szCs w:val="20"/>
      <w:lang w:val="en-GB"/>
    </w:rPr>
  </w:style>
  <w:style w:type="character" w:styleId="EndnoteReference">
    <w:name w:val="endnote reference"/>
    <w:basedOn w:val="DefaultParagraphFont"/>
    <w:uiPriority w:val="99"/>
    <w:semiHidden/>
    <w:rsid w:val="001643D4"/>
    <w:rPr>
      <w:vertAlign w:val="superscript"/>
    </w:rPr>
  </w:style>
  <w:style w:type="character" w:styleId="BookTitle">
    <w:name w:val="Book Title"/>
    <w:uiPriority w:val="33"/>
    <w:qFormat/>
    <w:rsid w:val="00B11E42"/>
    <w:rPr>
      <w:rFonts w:ascii="Arial" w:hAnsi="Arial"/>
      <w:b/>
      <w:bCs/>
      <w:caps w:val="0"/>
      <w:smallCaps/>
      <w:color w:val="283138"/>
      <w:spacing w:val="10"/>
      <w:sz w:val="22"/>
    </w:rPr>
  </w:style>
  <w:style w:type="table" w:customStyle="1" w:styleId="Style12">
    <w:name w:val="Style12"/>
    <w:basedOn w:val="TableNormal"/>
    <w:uiPriority w:val="99"/>
    <w:qFormat/>
    <w:rsid w:val="003B0274"/>
    <w:pPr>
      <w:spacing w:after="0" w:line="240" w:lineRule="auto"/>
      <w:jc w:val="center"/>
    </w:pPr>
    <w:rPr>
      <w:rFonts w:ascii="Arial" w:hAnsi="Arial"/>
      <w:sz w:val="18"/>
      <w:lang w:val="en-AU"/>
    </w:rPr>
    <w:tblPr>
      <w:tblStyleRowBandSize w:val="1"/>
      <w:tblStyleColBandSize w:val="1"/>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rPr>
      <w:jc w:val="center"/>
    </w:trPr>
    <w:tcPr>
      <w:shd w:val="clear" w:color="auto" w:fill="F1F9E5"/>
      <w:vAlign w:val="center"/>
    </w:tcPr>
    <w:tblStylePr w:type="firstRow">
      <w:pPr>
        <w:wordWrap/>
        <w:spacing w:beforeLines="60" w:beforeAutospacing="0" w:afterLines="60" w:afterAutospacing="0"/>
        <w:jc w:val="center"/>
      </w:pPr>
      <w:rPr>
        <w:rFonts w:ascii="Arial" w:hAnsi="Arial"/>
        <w:b/>
        <w:sz w:val="18"/>
      </w:rPr>
      <w:tblPr/>
      <w:tcPr>
        <w:shd w:val="clear" w:color="auto" w:fill="C4E58E"/>
      </w:tcPr>
    </w:tblStylePr>
    <w:tblStylePr w:type="firstCol">
      <w:pPr>
        <w:wordWrap/>
        <w:spacing w:beforeLines="0" w:before="0" w:beforeAutospacing="0" w:afterLines="0" w:after="0" w:afterAutospacing="0" w:line="240" w:lineRule="auto"/>
        <w:jc w:val="left"/>
      </w:pPr>
    </w:tblStylePr>
    <w:tblStylePr w:type="band1Vert">
      <w:tblPr/>
      <w:tcPr>
        <w:shd w:val="clear" w:color="auto" w:fill="FFFFFF" w:themeFill="background1"/>
      </w:tcPr>
    </w:tblStylePr>
    <w:tblStylePr w:type="band1Horz">
      <w:pPr>
        <w:wordWrap/>
        <w:spacing w:beforeLines="0" w:before="0" w:beforeAutospacing="0" w:afterLines="0" w:after="0" w:afterAutospacing="0" w:line="240" w:lineRule="auto"/>
        <w:jc w:val="left"/>
      </w:pPr>
      <w:tblPr/>
      <w:tcPr>
        <w:shd w:val="clear" w:color="auto" w:fill="FFFFFF" w:themeFill="background1"/>
      </w:tcPr>
    </w:tblStylePr>
    <w:tblStylePr w:type="band2Horz">
      <w:pPr>
        <w:wordWrap/>
        <w:spacing w:beforeLines="0" w:before="0" w:beforeAutospacing="0" w:afterLines="0" w:after="0" w:afterAutospacing="0" w:line="240" w:lineRule="auto"/>
        <w:jc w:val="left"/>
      </w:p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header" w:unhideWhenUsed="1"/>
    <w:lsdException w:name="footer" w:unhideWhenUsed="1"/>
    <w:lsdException w:name="caption" w:uiPriority="35" w:unhideWhenUsed="1" w:qFormat="1"/>
    <w:lsdException w:name="table of figures" w:unhideWhenUsed="1"/>
    <w:lsdException w:name="List Bullet" w:uiPriority="0"/>
    <w:lsdException w:name="List Number" w:semiHidden="0"/>
    <w:lsdException w:name="List Number 2" w:semiHidden="0"/>
    <w:lsdException w:name="Title" w:semiHidden="0" w:uiPriority="10" w:qFormat="1"/>
    <w:lsdException w:name="Default Paragraph Font" w:uiPriority="1" w:unhideWhenUsed="1"/>
    <w:lsdException w:name="Body Text" w:uiPriority="0" w:qFormat="1"/>
    <w:lsdException w:name="Subtitle" w:semiHidden="0" w:uiPriority="11" w:qFormat="1"/>
    <w:lsdException w:name="Hyperlink" w:unhideWhenUsed="1"/>
    <w:lsdException w:name="Strong" w:semiHidden="0" w:uiPriority="22" w:qFormat="1"/>
    <w:lsdException w:name="Emphasis" w:semiHidden="0" w:uiPriority="20" w:qFormat="1"/>
    <w:lsdException w:name="Document Map" w:unhideWhenUsed="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uiPriority="33" w:qFormat="1"/>
    <w:lsdException w:name="Bibliography" w:uiPriority="37"/>
    <w:lsdException w:name="TOC Heading" w:uiPriority="39" w:unhideWhenUsed="1" w:qFormat="1"/>
  </w:latentStyles>
  <w:style w:type="paragraph" w:default="1" w:styleId="Normal">
    <w:name w:val="Normal"/>
    <w:qFormat/>
    <w:rsid w:val="00C350BA"/>
    <w:pPr>
      <w:spacing w:after="240"/>
      <w:jc w:val="both"/>
    </w:pPr>
    <w:rPr>
      <w:rFonts w:ascii="Arial" w:hAnsi="Arial" w:cs="Arial"/>
      <w:sz w:val="20"/>
      <w:szCs w:val="20"/>
      <w:lang w:val="en-GB"/>
    </w:rPr>
  </w:style>
  <w:style w:type="paragraph" w:styleId="Heading1">
    <w:name w:val="heading 1"/>
    <w:basedOn w:val="Normal"/>
    <w:next w:val="Normal"/>
    <w:link w:val="Heading1Char"/>
    <w:autoRedefine/>
    <w:uiPriority w:val="9"/>
    <w:qFormat/>
    <w:rsid w:val="009A1986"/>
    <w:pPr>
      <w:keepNext/>
      <w:keepLines/>
      <w:pageBreakBefore/>
      <w:numPr>
        <w:numId w:val="14"/>
      </w:numPr>
      <w:spacing w:after="800" w:line="240" w:lineRule="auto"/>
      <w:jc w:val="left"/>
      <w:outlineLvl w:val="0"/>
    </w:pPr>
    <w:rPr>
      <w:rFonts w:asciiTheme="majorHAnsi" w:eastAsiaTheme="majorEastAsia" w:hAnsiTheme="majorHAnsi" w:cstheme="majorHAnsi"/>
      <w:b/>
      <w:bCs/>
      <w:color w:val="7AB800" w:themeColor="accent1"/>
      <w:sz w:val="52"/>
      <w:szCs w:val="36"/>
    </w:rPr>
  </w:style>
  <w:style w:type="paragraph" w:styleId="Heading2">
    <w:name w:val="heading 2"/>
    <w:basedOn w:val="Normal"/>
    <w:next w:val="Normal"/>
    <w:link w:val="Heading2Char1"/>
    <w:uiPriority w:val="9"/>
    <w:unhideWhenUsed/>
    <w:qFormat/>
    <w:rsid w:val="009245AE"/>
    <w:pPr>
      <w:keepNext/>
      <w:keepLines/>
      <w:numPr>
        <w:ilvl w:val="1"/>
        <w:numId w:val="15"/>
      </w:numPr>
      <w:spacing w:before="360" w:after="360"/>
      <w:outlineLvl w:val="1"/>
    </w:pPr>
    <w:rPr>
      <w:rFonts w:asciiTheme="majorHAnsi" w:eastAsiaTheme="majorEastAsia" w:hAnsiTheme="majorHAnsi" w:cstheme="majorBidi"/>
      <w:b/>
      <w:bCs/>
      <w:color w:val="353D30" w:themeColor="text1"/>
      <w:sz w:val="36"/>
      <w:szCs w:val="26"/>
    </w:rPr>
  </w:style>
  <w:style w:type="paragraph" w:styleId="Heading3">
    <w:name w:val="heading 3"/>
    <w:basedOn w:val="Normal"/>
    <w:next w:val="Normal"/>
    <w:link w:val="Heading3Char"/>
    <w:autoRedefine/>
    <w:uiPriority w:val="9"/>
    <w:qFormat/>
    <w:rsid w:val="00EF4C68"/>
    <w:pPr>
      <w:keepNext/>
      <w:keepLines/>
      <w:numPr>
        <w:ilvl w:val="2"/>
        <w:numId w:val="15"/>
      </w:numPr>
      <w:spacing w:before="170" w:after="160"/>
      <w:outlineLvl w:val="2"/>
    </w:pPr>
    <w:rPr>
      <w:rFonts w:asciiTheme="majorHAnsi" w:hAnsiTheme="majorHAnsi" w:cstheme="majorHAnsi"/>
      <w:b/>
      <w:sz w:val="28"/>
      <w:szCs w:val="22"/>
    </w:rPr>
  </w:style>
  <w:style w:type="paragraph" w:styleId="Heading4">
    <w:name w:val="heading 4"/>
    <w:basedOn w:val="Heading3"/>
    <w:next w:val="Normal"/>
    <w:link w:val="Heading4Char"/>
    <w:uiPriority w:val="9"/>
    <w:qFormat/>
    <w:rsid w:val="00166B5A"/>
    <w:pPr>
      <w:numPr>
        <w:ilvl w:val="3"/>
        <w:numId w:val="12"/>
      </w:numPr>
      <w:outlineLvl w:val="3"/>
    </w:pPr>
    <w:rPr>
      <w:color w:val="353D30" w:themeColor="text1"/>
    </w:rPr>
  </w:style>
  <w:style w:type="paragraph" w:styleId="Heading5">
    <w:name w:val="heading 5"/>
    <w:basedOn w:val="Normal"/>
    <w:next w:val="Normal"/>
    <w:link w:val="Heading5Char"/>
    <w:uiPriority w:val="9"/>
    <w:qFormat/>
    <w:rsid w:val="00115F9C"/>
    <w:pPr>
      <w:keepNext/>
      <w:keepLines/>
      <w:numPr>
        <w:ilvl w:val="4"/>
        <w:numId w:val="12"/>
      </w:numPr>
      <w:spacing w:before="200" w:after="0"/>
      <w:outlineLvl w:val="4"/>
    </w:pPr>
    <w:rPr>
      <w:rFonts w:asciiTheme="majorHAnsi" w:eastAsiaTheme="majorEastAsia" w:hAnsiTheme="majorHAnsi" w:cstheme="majorBidi"/>
      <w:b/>
      <w:iCs/>
      <w:color w:val="7AB800" w:themeColor="accent1"/>
      <w:szCs w:val="22"/>
    </w:rPr>
  </w:style>
  <w:style w:type="paragraph" w:styleId="Heading6">
    <w:name w:val="heading 6"/>
    <w:aliases w:val="h6,ICS in header,Bullet (Single Lines),(A),(I),Legal Level 1., not Kinhill"/>
    <w:basedOn w:val="Heading8"/>
    <w:next w:val="Normal"/>
    <w:link w:val="Heading6Char"/>
    <w:qFormat/>
    <w:rsid w:val="00600C65"/>
    <w:pPr>
      <w:numPr>
        <w:ilvl w:val="5"/>
      </w:numPr>
      <w:outlineLvl w:val="5"/>
    </w:pPr>
  </w:style>
  <w:style w:type="paragraph" w:styleId="Heading7">
    <w:name w:val="heading 7"/>
    <w:aliases w:val="Legal Level 1.1.,not Kinhill,not Kinhill1"/>
    <w:basedOn w:val="Normal"/>
    <w:next w:val="Normal"/>
    <w:link w:val="Heading7Char"/>
    <w:qFormat/>
    <w:rsid w:val="00600C65"/>
    <w:pPr>
      <w:keepNext/>
      <w:keepLines/>
      <w:numPr>
        <w:ilvl w:val="6"/>
        <w:numId w:val="12"/>
      </w:numPr>
      <w:spacing w:before="200" w:after="0"/>
      <w:outlineLvl w:val="6"/>
    </w:pPr>
    <w:rPr>
      <w:rFonts w:asciiTheme="majorHAnsi" w:eastAsiaTheme="majorEastAsia" w:hAnsiTheme="majorHAnsi" w:cstheme="majorBidi"/>
      <w:b/>
      <w:iCs/>
      <w:color w:val="7AB800" w:themeColor="accent1"/>
      <w:szCs w:val="22"/>
    </w:rPr>
  </w:style>
  <w:style w:type="paragraph" w:styleId="Heading8">
    <w:name w:val="heading 8"/>
    <w:aliases w:val="Legal Level 1.1.1."/>
    <w:basedOn w:val="Normal"/>
    <w:next w:val="Normal"/>
    <w:link w:val="Heading8Char"/>
    <w:semiHidden/>
    <w:qFormat/>
    <w:rsid w:val="00600C65"/>
    <w:pPr>
      <w:keepNext/>
      <w:keepLines/>
      <w:numPr>
        <w:ilvl w:val="7"/>
        <w:numId w:val="12"/>
      </w:numPr>
      <w:spacing w:before="200" w:after="0"/>
      <w:outlineLvl w:val="7"/>
    </w:pPr>
    <w:rPr>
      <w:rFonts w:asciiTheme="majorHAnsi" w:eastAsiaTheme="majorEastAsia" w:hAnsiTheme="majorHAnsi" w:cstheme="majorBidi"/>
      <w:color w:val="7AB800" w:themeColor="accent1"/>
    </w:rPr>
  </w:style>
  <w:style w:type="paragraph" w:styleId="Heading9">
    <w:name w:val="heading 9"/>
    <w:aliases w:val="Legal Level 1.1.1.1."/>
    <w:basedOn w:val="Normal"/>
    <w:next w:val="Normal"/>
    <w:link w:val="Heading9Char"/>
    <w:semiHidden/>
    <w:qFormat/>
    <w:rsid w:val="00600C65"/>
    <w:pPr>
      <w:keepNext/>
      <w:keepLines/>
      <w:numPr>
        <w:ilvl w:val="8"/>
        <w:numId w:val="12"/>
      </w:numPr>
      <w:spacing w:before="200" w:after="0"/>
      <w:outlineLvl w:val="8"/>
    </w:pPr>
    <w:rPr>
      <w:rFonts w:asciiTheme="majorHAnsi" w:eastAsiaTheme="majorEastAsia" w:hAnsiTheme="majorHAnsi" w:cstheme="majorBidi"/>
      <w:iCs/>
      <w:color w:val="009FD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986"/>
    <w:rPr>
      <w:rFonts w:asciiTheme="majorHAnsi" w:eastAsiaTheme="majorEastAsia" w:hAnsiTheme="majorHAnsi" w:cstheme="majorHAnsi"/>
      <w:b/>
      <w:bCs/>
      <w:color w:val="7AB800" w:themeColor="accent1"/>
      <w:sz w:val="52"/>
      <w:szCs w:val="36"/>
      <w:lang w:val="en-GB"/>
    </w:rPr>
  </w:style>
  <w:style w:type="character" w:customStyle="1" w:styleId="Heading2Char">
    <w:name w:val="Heading 2 Char"/>
    <w:basedOn w:val="DefaultParagraphFont"/>
    <w:uiPriority w:val="9"/>
    <w:rsid w:val="00E21DD5"/>
    <w:rPr>
      <w:rFonts w:asciiTheme="majorHAnsi" w:eastAsiaTheme="majorEastAsia" w:hAnsiTheme="majorHAnsi" w:cs="Arial"/>
      <w:bCs/>
      <w:color w:val="353D30" w:themeColor="accent2"/>
      <w:sz w:val="32"/>
      <w:szCs w:val="24"/>
      <w:lang w:val="en-GB"/>
    </w:rPr>
  </w:style>
  <w:style w:type="character" w:customStyle="1" w:styleId="Heading3Char">
    <w:name w:val="Heading 3 Char"/>
    <w:basedOn w:val="DefaultParagraphFont"/>
    <w:link w:val="Heading3"/>
    <w:uiPriority w:val="9"/>
    <w:rsid w:val="00EF4C68"/>
    <w:rPr>
      <w:rFonts w:asciiTheme="majorHAnsi" w:hAnsiTheme="majorHAnsi" w:cstheme="majorHAnsi"/>
      <w:b/>
      <w:sz w:val="28"/>
      <w:lang w:val="en-GB"/>
    </w:rPr>
  </w:style>
  <w:style w:type="character" w:customStyle="1" w:styleId="Heading4Char">
    <w:name w:val="Heading 4 Char"/>
    <w:basedOn w:val="DefaultParagraphFont"/>
    <w:link w:val="Heading4"/>
    <w:uiPriority w:val="9"/>
    <w:rsid w:val="00166B5A"/>
    <w:rPr>
      <w:rFonts w:asciiTheme="majorHAnsi" w:hAnsiTheme="majorHAnsi" w:cstheme="majorHAnsi"/>
      <w:b/>
      <w:color w:val="353D30" w:themeColor="text1"/>
      <w:sz w:val="28"/>
      <w:lang w:val="en-GB"/>
    </w:rPr>
  </w:style>
  <w:style w:type="character" w:customStyle="1" w:styleId="Heading5Char">
    <w:name w:val="Heading 5 Char"/>
    <w:basedOn w:val="DefaultParagraphFont"/>
    <w:link w:val="Heading5"/>
    <w:uiPriority w:val="9"/>
    <w:rsid w:val="00115F9C"/>
    <w:rPr>
      <w:rFonts w:asciiTheme="majorHAnsi" w:eastAsiaTheme="majorEastAsia" w:hAnsiTheme="majorHAnsi" w:cstheme="majorBidi"/>
      <w:b/>
      <w:iCs/>
      <w:color w:val="7AB800" w:themeColor="accent1"/>
      <w:sz w:val="20"/>
      <w:lang w:val="en-GB"/>
    </w:rPr>
  </w:style>
  <w:style w:type="character" w:customStyle="1" w:styleId="Heading6Char">
    <w:name w:val="Heading 6 Char"/>
    <w:aliases w:val="h6 Char,ICS in header Char,Bullet (Single Lines) Char,(A) Char,(I) Char,Legal Level 1. Char, not Kinhill Char"/>
    <w:basedOn w:val="DefaultParagraphFont"/>
    <w:link w:val="Heading6"/>
    <w:rsid w:val="005C70E6"/>
    <w:rPr>
      <w:rFonts w:asciiTheme="majorHAnsi" w:eastAsiaTheme="majorEastAsia" w:hAnsiTheme="majorHAnsi" w:cstheme="majorBidi"/>
      <w:color w:val="7AB800" w:themeColor="accent1"/>
      <w:sz w:val="20"/>
      <w:szCs w:val="20"/>
      <w:lang w:val="en-GB"/>
    </w:rPr>
  </w:style>
  <w:style w:type="character" w:customStyle="1" w:styleId="Heading7Char">
    <w:name w:val="Heading 7 Char"/>
    <w:aliases w:val="Legal Level 1.1. Char,not Kinhill Char,not Kinhill1 Char"/>
    <w:basedOn w:val="DefaultParagraphFont"/>
    <w:link w:val="Heading7"/>
    <w:rsid w:val="005C70E6"/>
    <w:rPr>
      <w:rFonts w:asciiTheme="majorHAnsi" w:eastAsiaTheme="majorEastAsia" w:hAnsiTheme="majorHAnsi" w:cstheme="majorBidi"/>
      <w:b/>
      <w:iCs/>
      <w:color w:val="7AB800" w:themeColor="accent1"/>
      <w:sz w:val="20"/>
      <w:lang w:val="en-GB"/>
    </w:rPr>
  </w:style>
  <w:style w:type="character" w:customStyle="1" w:styleId="Heading8Char">
    <w:name w:val="Heading 8 Char"/>
    <w:aliases w:val="Legal Level 1.1.1. Char"/>
    <w:basedOn w:val="DefaultParagraphFont"/>
    <w:link w:val="Heading8"/>
    <w:semiHidden/>
    <w:rsid w:val="005C70E6"/>
    <w:rPr>
      <w:rFonts w:asciiTheme="majorHAnsi" w:eastAsiaTheme="majorEastAsia" w:hAnsiTheme="majorHAnsi" w:cstheme="majorBidi"/>
      <w:color w:val="7AB800" w:themeColor="accent1"/>
      <w:sz w:val="20"/>
      <w:szCs w:val="20"/>
      <w:lang w:val="en-GB"/>
    </w:rPr>
  </w:style>
  <w:style w:type="character" w:customStyle="1" w:styleId="Heading9Char">
    <w:name w:val="Heading 9 Char"/>
    <w:aliases w:val="Legal Level 1.1.1.1. Char"/>
    <w:basedOn w:val="DefaultParagraphFont"/>
    <w:link w:val="Heading9"/>
    <w:semiHidden/>
    <w:rsid w:val="005C70E6"/>
    <w:rPr>
      <w:rFonts w:asciiTheme="majorHAnsi" w:eastAsiaTheme="majorEastAsia" w:hAnsiTheme="majorHAnsi" w:cstheme="majorBidi"/>
      <w:iCs/>
      <w:color w:val="009FDA" w:themeColor="text2"/>
      <w:sz w:val="20"/>
      <w:szCs w:val="20"/>
      <w:lang w:val="en-GB"/>
    </w:rPr>
  </w:style>
  <w:style w:type="paragraph" w:styleId="ListParagraph">
    <w:name w:val="List Paragraph"/>
    <w:basedOn w:val="Normal"/>
    <w:uiPriority w:val="34"/>
    <w:qFormat/>
    <w:rsid w:val="00600C65"/>
    <w:pPr>
      <w:ind w:left="720"/>
      <w:contextualSpacing/>
    </w:pPr>
  </w:style>
  <w:style w:type="paragraph" w:styleId="Caption">
    <w:name w:val="caption"/>
    <w:basedOn w:val="Normal"/>
    <w:next w:val="Normal"/>
    <w:uiPriority w:val="35"/>
    <w:qFormat/>
    <w:rsid w:val="009951A0"/>
    <w:pPr>
      <w:spacing w:before="80" w:after="80" w:line="240" w:lineRule="auto"/>
      <w:jc w:val="center"/>
    </w:pPr>
    <w:rPr>
      <w:b/>
      <w:bCs/>
      <w:color w:val="353D30" w:themeColor="accent2"/>
      <w:szCs w:val="18"/>
    </w:rPr>
  </w:style>
  <w:style w:type="paragraph" w:styleId="Title">
    <w:name w:val="Title"/>
    <w:basedOn w:val="Normal"/>
    <w:next w:val="Normal"/>
    <w:link w:val="TitleChar"/>
    <w:uiPriority w:val="10"/>
    <w:qFormat/>
    <w:rsid w:val="00600C65"/>
    <w:pPr>
      <w:spacing w:after="300" w:line="240" w:lineRule="auto"/>
      <w:contextualSpacing/>
    </w:pPr>
    <w:rPr>
      <w:rFonts w:eastAsiaTheme="majorEastAsia" w:cstheme="majorBidi"/>
      <w:color w:val="7AB800" w:themeColor="accent1"/>
      <w:spacing w:val="5"/>
      <w:kern w:val="28"/>
      <w:sz w:val="70"/>
      <w:szCs w:val="52"/>
    </w:rPr>
  </w:style>
  <w:style w:type="character" w:customStyle="1" w:styleId="TitleChar">
    <w:name w:val="Title Char"/>
    <w:basedOn w:val="DefaultParagraphFont"/>
    <w:link w:val="Title"/>
    <w:uiPriority w:val="10"/>
    <w:rsid w:val="005C70E6"/>
    <w:rPr>
      <w:rFonts w:ascii="Arial" w:eastAsiaTheme="majorEastAsia" w:hAnsi="Arial" w:cstheme="majorBidi"/>
      <w:color w:val="7AB800" w:themeColor="accent1"/>
      <w:spacing w:val="5"/>
      <w:kern w:val="28"/>
      <w:sz w:val="70"/>
      <w:szCs w:val="52"/>
    </w:rPr>
  </w:style>
  <w:style w:type="character" w:styleId="Strong">
    <w:name w:val="Strong"/>
    <w:uiPriority w:val="22"/>
    <w:qFormat/>
    <w:rsid w:val="00600C65"/>
    <w:rPr>
      <w:b/>
      <w:bCs/>
    </w:rPr>
  </w:style>
  <w:style w:type="paragraph" w:styleId="NoSpacing">
    <w:name w:val="No Spacing"/>
    <w:basedOn w:val="Normal"/>
    <w:link w:val="NoSpacingChar"/>
    <w:uiPriority w:val="1"/>
    <w:qFormat/>
    <w:rsid w:val="00600C65"/>
    <w:pPr>
      <w:spacing w:after="0" w:line="240" w:lineRule="auto"/>
    </w:pPr>
  </w:style>
  <w:style w:type="paragraph" w:styleId="Quote">
    <w:name w:val="Quote"/>
    <w:basedOn w:val="Normal"/>
    <w:next w:val="Normal"/>
    <w:link w:val="QuoteChar"/>
    <w:uiPriority w:val="29"/>
    <w:qFormat/>
    <w:rsid w:val="00600C65"/>
    <w:rPr>
      <w:i/>
      <w:iCs/>
      <w:color w:val="353D30" w:themeColor="text1"/>
    </w:rPr>
  </w:style>
  <w:style w:type="character" w:customStyle="1" w:styleId="QuoteChar">
    <w:name w:val="Quote Char"/>
    <w:basedOn w:val="DefaultParagraphFont"/>
    <w:link w:val="Quote"/>
    <w:uiPriority w:val="29"/>
    <w:rsid w:val="005C70E6"/>
    <w:rPr>
      <w:rFonts w:ascii="Arial" w:hAnsi="Arial" w:cs="Arial"/>
      <w:i/>
      <w:iCs/>
      <w:color w:val="353D30" w:themeColor="text1"/>
      <w:sz w:val="20"/>
      <w:szCs w:val="20"/>
    </w:rPr>
  </w:style>
  <w:style w:type="paragraph" w:styleId="IntenseQuote">
    <w:name w:val="Intense Quote"/>
    <w:basedOn w:val="Normal"/>
    <w:next w:val="Normal"/>
    <w:link w:val="IntenseQuoteChar"/>
    <w:uiPriority w:val="30"/>
    <w:qFormat/>
    <w:rsid w:val="00600C65"/>
    <w:pPr>
      <w:pBdr>
        <w:bottom w:val="single" w:sz="4" w:space="4" w:color="7AB800" w:themeColor="accent1"/>
      </w:pBdr>
      <w:spacing w:before="200" w:after="280"/>
      <w:ind w:left="936" w:right="936"/>
    </w:pPr>
    <w:rPr>
      <w:b/>
      <w:bCs/>
      <w:i/>
      <w:iCs/>
      <w:color w:val="7AB800" w:themeColor="accent1"/>
    </w:rPr>
  </w:style>
  <w:style w:type="character" w:customStyle="1" w:styleId="IntenseQuoteChar">
    <w:name w:val="Intense Quote Char"/>
    <w:basedOn w:val="DefaultParagraphFont"/>
    <w:link w:val="IntenseQuote"/>
    <w:uiPriority w:val="30"/>
    <w:rsid w:val="005C70E6"/>
    <w:rPr>
      <w:rFonts w:ascii="Arial" w:hAnsi="Arial" w:cs="Arial"/>
      <w:b/>
      <w:bCs/>
      <w:i/>
      <w:iCs/>
      <w:color w:val="7AB800" w:themeColor="accent1"/>
      <w:sz w:val="20"/>
      <w:szCs w:val="20"/>
    </w:rPr>
  </w:style>
  <w:style w:type="character" w:styleId="SubtleEmphasis">
    <w:name w:val="Subtle Emphasis"/>
    <w:uiPriority w:val="19"/>
    <w:qFormat/>
    <w:rsid w:val="00600C65"/>
    <w:rPr>
      <w:i/>
      <w:iCs/>
      <w:color w:val="98A78F" w:themeColor="text1" w:themeTint="7F"/>
    </w:rPr>
  </w:style>
  <w:style w:type="paragraph" w:styleId="BalloonText">
    <w:name w:val="Balloon Text"/>
    <w:basedOn w:val="Normal"/>
    <w:link w:val="BalloonTextChar"/>
    <w:uiPriority w:val="99"/>
    <w:semiHidden/>
    <w:rsid w:val="00550384"/>
    <w:pPr>
      <w:spacing w:after="0" w:line="240" w:lineRule="auto"/>
    </w:pPr>
    <w:rPr>
      <w:rFonts w:ascii="Tahoma" w:hAnsi="Tahoma" w:cs="Tahoma"/>
      <w:sz w:val="16"/>
      <w:szCs w:val="16"/>
    </w:rPr>
  </w:style>
  <w:style w:type="paragraph" w:styleId="TOCHeading">
    <w:name w:val="TOC Heading"/>
    <w:basedOn w:val="Heading1"/>
    <w:next w:val="Normal"/>
    <w:uiPriority w:val="39"/>
    <w:semiHidden/>
    <w:qFormat/>
    <w:rsid w:val="00600C65"/>
    <w:pPr>
      <w:spacing w:before="480" w:after="0"/>
      <w:outlineLvl w:val="9"/>
    </w:pPr>
    <w:rPr>
      <w:rFonts w:cstheme="majorBidi"/>
      <w:color w:val="5B8900" w:themeColor="accent1" w:themeShade="BF"/>
    </w:rPr>
  </w:style>
  <w:style w:type="character" w:customStyle="1" w:styleId="NoSpacingChar">
    <w:name w:val="No Spacing Char"/>
    <w:basedOn w:val="DefaultParagraphFont"/>
    <w:link w:val="NoSpacing"/>
    <w:uiPriority w:val="1"/>
    <w:rsid w:val="003A1A9A"/>
    <w:rPr>
      <w:rFonts w:ascii="Arial" w:hAnsi="Arial" w:cs="Arial"/>
      <w:sz w:val="20"/>
      <w:szCs w:val="20"/>
      <w:lang w:val="en-AU"/>
    </w:rPr>
  </w:style>
  <w:style w:type="character" w:customStyle="1" w:styleId="BalloonTextChar">
    <w:name w:val="Balloon Text Char"/>
    <w:basedOn w:val="DefaultParagraphFont"/>
    <w:link w:val="BalloonText"/>
    <w:uiPriority w:val="99"/>
    <w:semiHidden/>
    <w:rsid w:val="005C70E6"/>
    <w:rPr>
      <w:rFonts w:ascii="Tahoma" w:hAnsi="Tahoma" w:cs="Tahoma"/>
      <w:sz w:val="16"/>
      <w:szCs w:val="16"/>
    </w:rPr>
  </w:style>
  <w:style w:type="table" w:styleId="TableGrid">
    <w:name w:val="Table Grid"/>
    <w:basedOn w:val="TableNormal"/>
    <w:uiPriority w:val="59"/>
    <w:rsid w:val="001343D2"/>
    <w:pPr>
      <w:spacing w:after="0" w:line="240" w:lineRule="auto"/>
    </w:pPr>
    <w:tblPr>
      <w:tblInd w:w="0" w:type="dxa"/>
      <w:tblBorders>
        <w:top w:val="single" w:sz="4" w:space="0" w:color="353D30" w:themeColor="text1"/>
        <w:left w:val="single" w:sz="4" w:space="0" w:color="353D30" w:themeColor="text1"/>
        <w:bottom w:val="single" w:sz="4" w:space="0" w:color="353D30" w:themeColor="text1"/>
        <w:right w:val="single" w:sz="4" w:space="0" w:color="353D30" w:themeColor="text1"/>
        <w:insideH w:val="single" w:sz="4" w:space="0" w:color="353D30" w:themeColor="text1"/>
        <w:insideV w:val="single" w:sz="4" w:space="0" w:color="353D3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573A1"/>
    <w:rPr>
      <w:rFonts w:cs="Times New Roman"/>
      <w:color w:val="808080"/>
    </w:rPr>
  </w:style>
  <w:style w:type="paragraph" w:styleId="Header">
    <w:name w:val="header"/>
    <w:basedOn w:val="Normal"/>
    <w:link w:val="HeaderChar"/>
    <w:uiPriority w:val="99"/>
    <w:rsid w:val="005A18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0E6"/>
    <w:rPr>
      <w:rFonts w:ascii="Arial" w:hAnsi="Arial" w:cs="Arial"/>
      <w:sz w:val="20"/>
      <w:szCs w:val="20"/>
    </w:rPr>
  </w:style>
  <w:style w:type="paragraph" w:styleId="Footer">
    <w:name w:val="footer"/>
    <w:basedOn w:val="Normal"/>
    <w:link w:val="FooterChar"/>
    <w:uiPriority w:val="99"/>
    <w:rsid w:val="00D67AC3"/>
    <w:pPr>
      <w:tabs>
        <w:tab w:val="center" w:pos="4680"/>
        <w:tab w:val="right" w:pos="9360"/>
      </w:tabs>
      <w:spacing w:after="0" w:line="240" w:lineRule="auto"/>
    </w:pPr>
    <w:rPr>
      <w:sz w:val="12"/>
    </w:rPr>
  </w:style>
  <w:style w:type="character" w:customStyle="1" w:styleId="FooterChar">
    <w:name w:val="Footer Char"/>
    <w:basedOn w:val="DefaultParagraphFont"/>
    <w:link w:val="Footer"/>
    <w:uiPriority w:val="99"/>
    <w:rsid w:val="00D67AC3"/>
    <w:rPr>
      <w:rFonts w:ascii="Arial" w:hAnsi="Arial" w:cs="Arial"/>
      <w:sz w:val="12"/>
      <w:szCs w:val="20"/>
      <w:lang w:val="en-AU"/>
    </w:rPr>
  </w:style>
  <w:style w:type="paragraph" w:styleId="TOC1">
    <w:name w:val="toc 1"/>
    <w:basedOn w:val="Normal"/>
    <w:next w:val="Normal"/>
    <w:autoRedefine/>
    <w:uiPriority w:val="39"/>
    <w:qFormat/>
    <w:rsid w:val="00810E9A"/>
    <w:pPr>
      <w:tabs>
        <w:tab w:val="left" w:pos="426"/>
        <w:tab w:val="right" w:pos="9061"/>
      </w:tabs>
      <w:spacing w:after="100"/>
    </w:pPr>
    <w:rPr>
      <w:b/>
      <w:noProof/>
      <w:color w:val="7AB800" w:themeColor="accent1"/>
    </w:rPr>
  </w:style>
  <w:style w:type="paragraph" w:styleId="TOC2">
    <w:name w:val="toc 2"/>
    <w:basedOn w:val="Normal"/>
    <w:next w:val="Normal"/>
    <w:autoRedefine/>
    <w:uiPriority w:val="39"/>
    <w:qFormat/>
    <w:rsid w:val="004D1302"/>
    <w:pPr>
      <w:tabs>
        <w:tab w:val="left" w:pos="993"/>
        <w:tab w:val="right" w:pos="9061"/>
      </w:tabs>
      <w:spacing w:after="100"/>
      <w:ind w:left="993" w:hanging="567"/>
    </w:pPr>
    <w:rPr>
      <w:noProof/>
    </w:rPr>
  </w:style>
  <w:style w:type="character" w:styleId="Hyperlink">
    <w:name w:val="Hyperlink"/>
    <w:basedOn w:val="DefaultParagraphFont"/>
    <w:uiPriority w:val="99"/>
    <w:unhideWhenUsed/>
    <w:rsid w:val="002A7C21"/>
    <w:rPr>
      <w:color w:val="auto"/>
      <w:u w:val="single"/>
    </w:rPr>
  </w:style>
  <w:style w:type="paragraph" w:customStyle="1" w:styleId="FigureHeading">
    <w:name w:val="Figure Heading"/>
    <w:basedOn w:val="Caption"/>
    <w:link w:val="FigureHeadingChar"/>
    <w:qFormat/>
    <w:rsid w:val="00600C65"/>
    <w:pPr>
      <w:keepNext/>
      <w:spacing w:after="220"/>
    </w:pPr>
    <w:rPr>
      <w:szCs w:val="16"/>
    </w:rPr>
  </w:style>
  <w:style w:type="paragraph" w:customStyle="1" w:styleId="CaptionHeading">
    <w:name w:val="Caption Heading"/>
    <w:basedOn w:val="Caption"/>
    <w:link w:val="CaptionHeadingChar"/>
    <w:qFormat/>
    <w:rsid w:val="00600C65"/>
    <w:pPr>
      <w:keepNext/>
      <w:spacing w:after="220"/>
    </w:pPr>
    <w:rPr>
      <w:szCs w:val="16"/>
    </w:rPr>
  </w:style>
  <w:style w:type="character" w:customStyle="1" w:styleId="FigureHeadingChar">
    <w:name w:val="Figure Heading Char"/>
    <w:basedOn w:val="DefaultParagraphFont"/>
    <w:link w:val="FigureHeading"/>
    <w:rsid w:val="005C70E6"/>
    <w:rPr>
      <w:rFonts w:ascii="Arial" w:hAnsi="Arial" w:cs="Arial"/>
      <w:b/>
      <w:bCs/>
      <w:color w:val="353D30" w:themeColor="accent2"/>
      <w:sz w:val="16"/>
      <w:szCs w:val="16"/>
    </w:rPr>
  </w:style>
  <w:style w:type="paragraph" w:customStyle="1" w:styleId="CaptionText">
    <w:name w:val="Caption Text"/>
    <w:basedOn w:val="NoSpacing"/>
    <w:next w:val="Normal"/>
    <w:link w:val="CaptionTextChar"/>
    <w:qFormat/>
    <w:rsid w:val="00600C65"/>
    <w:pPr>
      <w:spacing w:after="220"/>
    </w:pPr>
    <w:rPr>
      <w:sz w:val="16"/>
      <w:szCs w:val="16"/>
    </w:rPr>
  </w:style>
  <w:style w:type="character" w:customStyle="1" w:styleId="CaptionHeadingChar">
    <w:name w:val="Caption Heading Char"/>
    <w:basedOn w:val="FigureHeadingChar"/>
    <w:link w:val="CaptionHeading"/>
    <w:rsid w:val="00600C65"/>
    <w:rPr>
      <w:rFonts w:ascii="Arial" w:hAnsi="Arial" w:cs="Arial"/>
      <w:b/>
      <w:bCs/>
      <w:color w:val="353D30" w:themeColor="accent2"/>
      <w:sz w:val="16"/>
      <w:szCs w:val="16"/>
    </w:rPr>
  </w:style>
  <w:style w:type="paragraph" w:styleId="DocumentMap">
    <w:name w:val="Document Map"/>
    <w:basedOn w:val="Normal"/>
    <w:link w:val="DocumentMapChar"/>
    <w:uiPriority w:val="99"/>
    <w:semiHidden/>
    <w:rsid w:val="00800E5D"/>
    <w:pPr>
      <w:spacing w:after="0" w:line="240" w:lineRule="auto"/>
    </w:pPr>
    <w:rPr>
      <w:rFonts w:ascii="Tahoma" w:hAnsi="Tahoma" w:cs="Tahoma"/>
      <w:sz w:val="16"/>
      <w:szCs w:val="16"/>
    </w:rPr>
  </w:style>
  <w:style w:type="character" w:customStyle="1" w:styleId="CaptionTextChar">
    <w:name w:val="Caption Text Char"/>
    <w:basedOn w:val="DefaultParagraphFont"/>
    <w:link w:val="CaptionText"/>
    <w:rsid w:val="00600C65"/>
    <w:rPr>
      <w:rFonts w:ascii="Arial" w:hAnsi="Arial" w:cs="Arial"/>
      <w:sz w:val="16"/>
      <w:szCs w:val="16"/>
    </w:rPr>
  </w:style>
  <w:style w:type="character" w:customStyle="1" w:styleId="DocumentMapChar">
    <w:name w:val="Document Map Char"/>
    <w:basedOn w:val="DefaultParagraphFont"/>
    <w:link w:val="DocumentMap"/>
    <w:uiPriority w:val="99"/>
    <w:semiHidden/>
    <w:rsid w:val="005C70E6"/>
    <w:rPr>
      <w:rFonts w:ascii="Tahoma" w:hAnsi="Tahoma" w:cs="Tahoma"/>
      <w:sz w:val="16"/>
      <w:szCs w:val="16"/>
    </w:rPr>
  </w:style>
  <w:style w:type="paragraph" w:customStyle="1" w:styleId="ChapterHeading">
    <w:name w:val="Chapter Heading"/>
    <w:basedOn w:val="Heading1"/>
    <w:next w:val="Normal"/>
    <w:link w:val="ChapterHeadingChar"/>
    <w:semiHidden/>
    <w:qFormat/>
    <w:rsid w:val="00600C65"/>
    <w:pPr>
      <w:ind w:left="567" w:hanging="567"/>
      <w:outlineLvl w:val="9"/>
    </w:pPr>
    <w:rPr>
      <w:spacing w:val="5"/>
      <w:kern w:val="28"/>
      <w:sz w:val="70"/>
      <w:szCs w:val="70"/>
    </w:rPr>
  </w:style>
  <w:style w:type="character" w:customStyle="1" w:styleId="ChapterHeadingChar">
    <w:name w:val="Chapter Heading Char"/>
    <w:basedOn w:val="TitleChar"/>
    <w:link w:val="ChapterHeading"/>
    <w:semiHidden/>
    <w:rsid w:val="005C70E6"/>
    <w:rPr>
      <w:rFonts w:asciiTheme="majorHAnsi" w:eastAsiaTheme="majorEastAsia" w:hAnsiTheme="majorHAnsi" w:cstheme="majorHAnsi"/>
      <w:b/>
      <w:bCs/>
      <w:color w:val="7AB800" w:themeColor="accent1"/>
      <w:spacing w:val="5"/>
      <w:kern w:val="28"/>
      <w:sz w:val="70"/>
      <w:szCs w:val="70"/>
      <w:lang w:val="en-GB"/>
    </w:rPr>
  </w:style>
  <w:style w:type="paragraph" w:customStyle="1" w:styleId="Section">
    <w:name w:val="Section"/>
    <w:basedOn w:val="Title"/>
    <w:link w:val="SectionChar"/>
    <w:semiHidden/>
    <w:rsid w:val="00600C65"/>
  </w:style>
  <w:style w:type="character" w:customStyle="1" w:styleId="SectionChar">
    <w:name w:val="Section Char"/>
    <w:basedOn w:val="TitleChar"/>
    <w:link w:val="Section"/>
    <w:semiHidden/>
    <w:rsid w:val="000B5921"/>
    <w:rPr>
      <w:rFonts w:ascii="Arial" w:eastAsiaTheme="majorEastAsia" w:hAnsi="Arial" w:cstheme="majorBidi"/>
      <w:color w:val="7AB800" w:themeColor="accent1"/>
      <w:spacing w:val="5"/>
      <w:kern w:val="28"/>
      <w:sz w:val="70"/>
      <w:szCs w:val="52"/>
      <w:lang w:val="en-AU"/>
    </w:rPr>
  </w:style>
  <w:style w:type="paragraph" w:customStyle="1" w:styleId="FigureText">
    <w:name w:val="Figure Text"/>
    <w:basedOn w:val="NoSpacing"/>
    <w:next w:val="Normal"/>
    <w:link w:val="FigureTextChar"/>
    <w:semiHidden/>
    <w:qFormat/>
    <w:rsid w:val="00600C65"/>
    <w:pPr>
      <w:spacing w:after="220"/>
    </w:pPr>
    <w:rPr>
      <w:sz w:val="16"/>
      <w:szCs w:val="16"/>
    </w:rPr>
  </w:style>
  <w:style w:type="character" w:customStyle="1" w:styleId="FigureTextChar">
    <w:name w:val="Figure Text Char"/>
    <w:basedOn w:val="DefaultParagraphFont"/>
    <w:link w:val="FigureText"/>
    <w:semiHidden/>
    <w:rsid w:val="005C70E6"/>
    <w:rPr>
      <w:rFonts w:ascii="Arial" w:hAnsi="Arial" w:cs="Arial"/>
      <w:sz w:val="16"/>
      <w:szCs w:val="16"/>
    </w:rPr>
  </w:style>
  <w:style w:type="table" w:customStyle="1" w:styleId="LightShading1">
    <w:name w:val="Light Shading1"/>
    <w:basedOn w:val="TableNormal"/>
    <w:uiPriority w:val="60"/>
    <w:rsid w:val="00D04755"/>
    <w:pPr>
      <w:spacing w:after="0" w:line="240" w:lineRule="auto"/>
    </w:pPr>
    <w:rPr>
      <w:color w:val="272D23" w:themeColor="text1" w:themeShade="BF"/>
    </w:rPr>
    <w:tblPr>
      <w:tblStyleRowBandSize w:val="1"/>
      <w:tblStyleColBandSize w:val="1"/>
      <w:tblInd w:w="0" w:type="dxa"/>
      <w:tblBorders>
        <w:top w:val="single" w:sz="8" w:space="0" w:color="353D30" w:themeColor="text1"/>
        <w:bottom w:val="single" w:sz="8" w:space="0" w:color="353D3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3D30" w:themeColor="text1"/>
          <w:left w:val="nil"/>
          <w:bottom w:val="single" w:sz="8" w:space="0" w:color="353D30" w:themeColor="text1"/>
          <w:right w:val="nil"/>
          <w:insideH w:val="nil"/>
          <w:insideV w:val="nil"/>
        </w:tcBorders>
      </w:tcPr>
    </w:tblStylePr>
    <w:tblStylePr w:type="lastRow">
      <w:pPr>
        <w:spacing w:before="0" w:after="0" w:line="240" w:lineRule="auto"/>
      </w:pPr>
      <w:rPr>
        <w:b/>
        <w:bCs/>
      </w:rPr>
      <w:tblPr/>
      <w:tcPr>
        <w:tcBorders>
          <w:top w:val="single" w:sz="8" w:space="0" w:color="353D30" w:themeColor="text1"/>
          <w:left w:val="nil"/>
          <w:bottom w:val="single" w:sz="8" w:space="0" w:color="353D3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C7" w:themeFill="text1" w:themeFillTint="3F"/>
      </w:tcPr>
    </w:tblStylePr>
    <w:tblStylePr w:type="band1Horz">
      <w:tblPr/>
      <w:tcPr>
        <w:tcBorders>
          <w:left w:val="nil"/>
          <w:right w:val="nil"/>
          <w:insideH w:val="nil"/>
          <w:insideV w:val="nil"/>
        </w:tcBorders>
        <w:shd w:val="clear" w:color="auto" w:fill="CBD3C7" w:themeFill="text1" w:themeFillTint="3F"/>
      </w:tcPr>
    </w:tblStylePr>
  </w:style>
  <w:style w:type="paragraph" w:customStyle="1" w:styleId="DividerTitle">
    <w:name w:val="Divider Title"/>
    <w:basedOn w:val="Normal"/>
    <w:link w:val="DividerTitleChar"/>
    <w:semiHidden/>
    <w:qFormat/>
    <w:rsid w:val="00600C65"/>
    <w:pPr>
      <w:keepNext/>
      <w:keepLines/>
      <w:spacing w:before="170" w:after="113" w:line="240" w:lineRule="auto"/>
      <w:ind w:left="567" w:hanging="567"/>
    </w:pPr>
    <w:rPr>
      <w:rFonts w:asciiTheme="majorHAnsi" w:eastAsiaTheme="majorEastAsia" w:hAnsiTheme="majorHAnsi" w:cstheme="majorHAnsi"/>
      <w:bCs/>
      <w:color w:val="FFFFFF" w:themeColor="background1"/>
      <w:spacing w:val="5"/>
      <w:kern w:val="28"/>
      <w:sz w:val="70"/>
      <w:szCs w:val="70"/>
    </w:rPr>
  </w:style>
  <w:style w:type="character" w:customStyle="1" w:styleId="DividerTitleChar">
    <w:name w:val="Divider Title Char"/>
    <w:basedOn w:val="DefaultParagraphFont"/>
    <w:link w:val="DividerTitle"/>
    <w:semiHidden/>
    <w:rsid w:val="00600C65"/>
    <w:rPr>
      <w:rFonts w:asciiTheme="majorHAnsi" w:eastAsiaTheme="majorEastAsia" w:hAnsiTheme="majorHAnsi" w:cstheme="majorHAnsi"/>
      <w:bCs/>
      <w:color w:val="FFFFFF" w:themeColor="background1"/>
      <w:spacing w:val="5"/>
      <w:kern w:val="28"/>
      <w:sz w:val="70"/>
      <w:szCs w:val="70"/>
    </w:rPr>
  </w:style>
  <w:style w:type="paragraph" w:customStyle="1" w:styleId="FooterText">
    <w:name w:val="Footer Text"/>
    <w:basedOn w:val="TOC1"/>
    <w:link w:val="FooterTextChar"/>
    <w:qFormat/>
    <w:rsid w:val="00D67AC3"/>
    <w:pPr>
      <w:tabs>
        <w:tab w:val="left" w:pos="400"/>
      </w:tabs>
      <w:spacing w:after="20" w:line="240" w:lineRule="auto"/>
      <w:ind w:right="28"/>
      <w:jc w:val="right"/>
    </w:pPr>
    <w:rPr>
      <w:b w:val="0"/>
      <w:color w:val="auto"/>
      <w:spacing w:val="-2"/>
      <w:kern w:val="2"/>
      <w:position w:val="-2"/>
      <w:sz w:val="12"/>
      <w:lang w:val="en-US"/>
    </w:rPr>
  </w:style>
  <w:style w:type="character" w:customStyle="1" w:styleId="FooterTextChar">
    <w:name w:val="Footer Text Char"/>
    <w:basedOn w:val="DefaultParagraphFont"/>
    <w:link w:val="FooterText"/>
    <w:rsid w:val="00D67AC3"/>
    <w:rPr>
      <w:rFonts w:ascii="Arial" w:hAnsi="Arial" w:cs="Arial"/>
      <w:noProof/>
      <w:spacing w:val="-2"/>
      <w:kern w:val="2"/>
      <w:position w:val="-2"/>
      <w:sz w:val="12"/>
      <w:szCs w:val="20"/>
    </w:rPr>
  </w:style>
  <w:style w:type="paragraph" w:customStyle="1" w:styleId="InfoBoxInfoTitle">
    <w:name w:val="InfoBox Info Title"/>
    <w:basedOn w:val="Normal"/>
    <w:semiHidden/>
    <w:qFormat/>
    <w:rsid w:val="00600C65"/>
    <w:pPr>
      <w:spacing w:before="100" w:after="30" w:line="240" w:lineRule="auto"/>
    </w:pPr>
    <w:rPr>
      <w:rFonts w:cstheme="minorBidi"/>
      <w:b/>
      <w:color w:val="353D30" w:themeColor="accent2"/>
      <w:sz w:val="17"/>
      <w:szCs w:val="22"/>
    </w:rPr>
  </w:style>
  <w:style w:type="paragraph" w:customStyle="1" w:styleId="InfoBoxInfoText">
    <w:name w:val="InfoBox Info Text"/>
    <w:basedOn w:val="InfoBoxInfoTitle"/>
    <w:semiHidden/>
    <w:qFormat/>
    <w:rsid w:val="00600C65"/>
    <w:pPr>
      <w:spacing w:before="10"/>
    </w:pPr>
    <w:rPr>
      <w:b w:val="0"/>
      <w:color w:val="auto"/>
    </w:rPr>
  </w:style>
  <w:style w:type="paragraph" w:customStyle="1" w:styleId="InfoBoxNormal">
    <w:name w:val="InfoBox Normal"/>
    <w:basedOn w:val="InfoBoxInfoText"/>
    <w:semiHidden/>
    <w:qFormat/>
    <w:rsid w:val="00600C65"/>
    <w:pPr>
      <w:spacing w:before="0" w:after="0" w:line="260" w:lineRule="exact"/>
    </w:pPr>
    <w:rPr>
      <w:sz w:val="18"/>
    </w:rPr>
  </w:style>
  <w:style w:type="paragraph" w:customStyle="1" w:styleId="InfoBoxHeading2">
    <w:name w:val="InfoBox Heading 2"/>
    <w:basedOn w:val="InfoBoxNormal"/>
    <w:semiHidden/>
    <w:qFormat/>
    <w:rsid w:val="00600C65"/>
    <w:pPr>
      <w:spacing w:before="30" w:after="30"/>
    </w:pPr>
    <w:rPr>
      <w:b/>
    </w:rPr>
  </w:style>
  <w:style w:type="paragraph" w:customStyle="1" w:styleId="InfoBoxHeading1">
    <w:name w:val="InfoBox Heading 1"/>
    <w:basedOn w:val="InfoBoxHeading2"/>
    <w:semiHidden/>
    <w:qFormat/>
    <w:rsid w:val="00600C65"/>
    <w:pPr>
      <w:spacing w:before="200" w:after="120" w:line="240" w:lineRule="auto"/>
    </w:pPr>
    <w:rPr>
      <w:color w:val="353D30" w:themeColor="accent2"/>
      <w:sz w:val="28"/>
    </w:rPr>
  </w:style>
  <w:style w:type="paragraph" w:customStyle="1" w:styleId="PartHeading">
    <w:name w:val="Part Heading"/>
    <w:basedOn w:val="Title"/>
    <w:link w:val="PartHeadingChar"/>
    <w:qFormat/>
    <w:rsid w:val="004841C2"/>
    <w:pPr>
      <w:pageBreakBefore/>
      <w:spacing w:after="0"/>
    </w:pPr>
    <w:rPr>
      <w:bCs/>
    </w:rPr>
  </w:style>
  <w:style w:type="character" w:customStyle="1" w:styleId="PartHeadingChar">
    <w:name w:val="Part Heading Char"/>
    <w:basedOn w:val="ChapterHeadingChar"/>
    <w:link w:val="PartHeading"/>
    <w:rsid w:val="004841C2"/>
    <w:rPr>
      <w:rFonts w:ascii="Arial" w:eastAsiaTheme="majorEastAsia" w:hAnsi="Arial" w:cstheme="majorBidi"/>
      <w:b/>
      <w:bCs/>
      <w:color w:val="7AB800" w:themeColor="accent1"/>
      <w:spacing w:val="5"/>
      <w:kern w:val="28"/>
      <w:sz w:val="70"/>
      <w:szCs w:val="52"/>
      <w:lang w:val="en-GB"/>
    </w:rPr>
  </w:style>
  <w:style w:type="paragraph" w:customStyle="1" w:styleId="InfoBoxIntroText">
    <w:name w:val="InfoBox Intro Text"/>
    <w:basedOn w:val="Normal"/>
    <w:link w:val="InfoBoxIntroTextChar"/>
    <w:semiHidden/>
    <w:qFormat/>
    <w:rsid w:val="00600C65"/>
    <w:pPr>
      <w:spacing w:after="113" w:line="280" w:lineRule="exact"/>
    </w:pPr>
    <w:rPr>
      <w:rFonts w:eastAsia="Times New Roman"/>
      <w:color w:val="353D30" w:themeColor="accent2"/>
      <w:sz w:val="24"/>
      <w:szCs w:val="24"/>
    </w:rPr>
  </w:style>
  <w:style w:type="character" w:customStyle="1" w:styleId="InfoBoxIntroTextChar">
    <w:name w:val="InfoBox Intro Text Char"/>
    <w:basedOn w:val="DefaultParagraphFont"/>
    <w:link w:val="InfoBoxIntroText"/>
    <w:semiHidden/>
    <w:rsid w:val="00600C65"/>
    <w:rPr>
      <w:rFonts w:ascii="Arial" w:eastAsia="Times New Roman" w:hAnsi="Arial" w:cs="Arial"/>
      <w:color w:val="353D30" w:themeColor="accent2"/>
      <w:sz w:val="24"/>
      <w:szCs w:val="24"/>
    </w:rPr>
  </w:style>
  <w:style w:type="paragraph" w:customStyle="1" w:styleId="InfoBoxTitle">
    <w:name w:val="InfoBox Title"/>
    <w:basedOn w:val="Normal"/>
    <w:link w:val="InfoBoxTitleChar"/>
    <w:semiHidden/>
    <w:qFormat/>
    <w:rsid w:val="00600C65"/>
    <w:pPr>
      <w:spacing w:after="160" w:line="240" w:lineRule="auto"/>
    </w:pPr>
    <w:rPr>
      <w:rFonts w:eastAsia="Times New Roman" w:cstheme="minorBidi"/>
      <w:b/>
      <w:color w:val="353D30"/>
      <w:sz w:val="40"/>
      <w:szCs w:val="40"/>
    </w:rPr>
  </w:style>
  <w:style w:type="character" w:customStyle="1" w:styleId="InfoBoxTitleChar">
    <w:name w:val="InfoBox Title Char"/>
    <w:basedOn w:val="DefaultParagraphFont"/>
    <w:link w:val="InfoBoxTitle"/>
    <w:semiHidden/>
    <w:rsid w:val="00600C65"/>
    <w:rPr>
      <w:rFonts w:ascii="Arial" w:eastAsia="Times New Roman" w:hAnsi="Arial"/>
      <w:b/>
      <w:color w:val="353D30"/>
      <w:sz w:val="40"/>
      <w:szCs w:val="40"/>
    </w:rPr>
  </w:style>
  <w:style w:type="paragraph" w:customStyle="1" w:styleId="InfoBoxSubtitle">
    <w:name w:val="InfoBox Subtitle"/>
    <w:basedOn w:val="Normal"/>
    <w:link w:val="InfoBoxSubtitleChar"/>
    <w:semiHidden/>
    <w:qFormat/>
    <w:rsid w:val="00600C65"/>
    <w:pPr>
      <w:spacing w:after="160" w:line="240" w:lineRule="auto"/>
    </w:pPr>
    <w:rPr>
      <w:rFonts w:eastAsia="Times New Roman" w:cstheme="minorBidi"/>
      <w:color w:val="353D30"/>
      <w:sz w:val="40"/>
      <w:szCs w:val="40"/>
    </w:rPr>
  </w:style>
  <w:style w:type="character" w:customStyle="1" w:styleId="InfoBoxSubtitleChar">
    <w:name w:val="InfoBox Subtitle Char"/>
    <w:basedOn w:val="DefaultParagraphFont"/>
    <w:link w:val="InfoBoxSubtitle"/>
    <w:semiHidden/>
    <w:rsid w:val="00600C65"/>
    <w:rPr>
      <w:rFonts w:ascii="Arial" w:eastAsia="Times New Roman" w:hAnsi="Arial"/>
      <w:color w:val="353D30"/>
      <w:sz w:val="40"/>
      <w:szCs w:val="40"/>
    </w:rPr>
  </w:style>
  <w:style w:type="paragraph" w:customStyle="1" w:styleId="H1">
    <w:name w:val="H1"/>
    <w:basedOn w:val="Heading1"/>
    <w:link w:val="H1Char"/>
    <w:semiHidden/>
    <w:qFormat/>
    <w:rsid w:val="00600C65"/>
    <w:pPr>
      <w:ind w:left="1134" w:hanging="1134"/>
    </w:pPr>
    <w:rPr>
      <w:sz w:val="28"/>
      <w:szCs w:val="28"/>
    </w:rPr>
  </w:style>
  <w:style w:type="character" w:customStyle="1" w:styleId="H1Char">
    <w:name w:val="H1 Char"/>
    <w:basedOn w:val="Heading1Char"/>
    <w:link w:val="H1"/>
    <w:semiHidden/>
    <w:rsid w:val="00600C65"/>
    <w:rPr>
      <w:rFonts w:asciiTheme="majorHAnsi" w:eastAsiaTheme="majorEastAsia" w:hAnsiTheme="majorHAnsi" w:cstheme="majorHAnsi"/>
      <w:b/>
      <w:bCs/>
      <w:color w:val="7AB800" w:themeColor="accent1"/>
      <w:sz w:val="28"/>
      <w:szCs w:val="28"/>
      <w:lang w:val="en-GB"/>
    </w:rPr>
  </w:style>
  <w:style w:type="paragraph" w:customStyle="1" w:styleId="H3">
    <w:name w:val="H3"/>
    <w:basedOn w:val="H1"/>
    <w:next w:val="Normal"/>
    <w:link w:val="H3Char"/>
    <w:semiHidden/>
    <w:qFormat/>
    <w:rsid w:val="00600C65"/>
    <w:pPr>
      <w:spacing w:line="240" w:lineRule="exact"/>
      <w:ind w:left="0" w:firstLine="0"/>
    </w:pPr>
    <w:rPr>
      <w:sz w:val="20"/>
      <w:szCs w:val="20"/>
    </w:rPr>
  </w:style>
  <w:style w:type="character" w:customStyle="1" w:styleId="H3Char">
    <w:name w:val="H3 Char"/>
    <w:basedOn w:val="H1Char"/>
    <w:link w:val="H3"/>
    <w:semiHidden/>
    <w:rsid w:val="00600C65"/>
    <w:rPr>
      <w:rFonts w:asciiTheme="majorHAnsi" w:eastAsiaTheme="majorEastAsia" w:hAnsiTheme="majorHAnsi" w:cstheme="majorHAnsi"/>
      <w:b/>
      <w:bCs/>
      <w:color w:val="7AB800" w:themeColor="accent1"/>
      <w:sz w:val="20"/>
      <w:szCs w:val="20"/>
      <w:lang w:val="en-GB"/>
    </w:rPr>
  </w:style>
  <w:style w:type="paragraph" w:customStyle="1" w:styleId="InfoBoxSubtitle2">
    <w:name w:val="InfoBox Subtitle 2"/>
    <w:basedOn w:val="Normal"/>
    <w:link w:val="InfoBoxSubtitle2Char"/>
    <w:semiHidden/>
    <w:qFormat/>
    <w:rsid w:val="00600C65"/>
    <w:pPr>
      <w:spacing w:after="160" w:line="240" w:lineRule="auto"/>
    </w:pPr>
    <w:rPr>
      <w:rFonts w:cstheme="minorBidi"/>
      <w:sz w:val="28"/>
      <w:szCs w:val="28"/>
    </w:rPr>
  </w:style>
  <w:style w:type="character" w:customStyle="1" w:styleId="InfoBoxSubtitle2Char">
    <w:name w:val="InfoBox Subtitle 2 Char"/>
    <w:basedOn w:val="DefaultParagraphFont"/>
    <w:link w:val="InfoBoxSubtitle2"/>
    <w:semiHidden/>
    <w:rsid w:val="00600C65"/>
    <w:rPr>
      <w:rFonts w:ascii="Arial" w:hAnsi="Arial"/>
      <w:sz w:val="28"/>
      <w:szCs w:val="28"/>
    </w:rPr>
  </w:style>
  <w:style w:type="paragraph" w:customStyle="1" w:styleId="InfoBoxTitle2">
    <w:name w:val="InfoBox Title 2"/>
    <w:basedOn w:val="Normal"/>
    <w:link w:val="InfoBoxTitle2Char"/>
    <w:semiHidden/>
    <w:qFormat/>
    <w:rsid w:val="00600C65"/>
    <w:pPr>
      <w:spacing w:after="160" w:line="240" w:lineRule="auto"/>
    </w:pPr>
    <w:rPr>
      <w:rFonts w:cstheme="minorBidi"/>
      <w:b/>
      <w:color w:val="353D30" w:themeColor="accent2"/>
      <w:sz w:val="28"/>
      <w:szCs w:val="28"/>
    </w:rPr>
  </w:style>
  <w:style w:type="character" w:customStyle="1" w:styleId="InfoBoxTitle2Char">
    <w:name w:val="InfoBox Title 2 Char"/>
    <w:basedOn w:val="DefaultParagraphFont"/>
    <w:link w:val="InfoBoxTitle2"/>
    <w:semiHidden/>
    <w:rsid w:val="00600C65"/>
    <w:rPr>
      <w:rFonts w:ascii="Arial" w:hAnsi="Arial"/>
      <w:b/>
      <w:color w:val="353D30" w:themeColor="accent2"/>
      <w:sz w:val="28"/>
      <w:szCs w:val="28"/>
    </w:rPr>
  </w:style>
  <w:style w:type="paragraph" w:styleId="TOC3">
    <w:name w:val="toc 3"/>
    <w:basedOn w:val="Normal"/>
    <w:next w:val="Normal"/>
    <w:autoRedefine/>
    <w:uiPriority w:val="39"/>
    <w:qFormat/>
    <w:rsid w:val="004D1302"/>
    <w:pPr>
      <w:tabs>
        <w:tab w:val="left" w:pos="1701"/>
        <w:tab w:val="right" w:pos="9061"/>
      </w:tabs>
      <w:spacing w:after="100"/>
      <w:ind w:left="1701" w:hanging="708"/>
    </w:pPr>
    <w:rPr>
      <w:noProof/>
    </w:rPr>
  </w:style>
  <w:style w:type="numbering" w:customStyle="1" w:styleId="AureconNumbering">
    <w:name w:val="Aurecon Numbering"/>
    <w:uiPriority w:val="99"/>
    <w:rsid w:val="005252BC"/>
    <w:pPr>
      <w:numPr>
        <w:numId w:val="2"/>
      </w:numPr>
    </w:pPr>
  </w:style>
  <w:style w:type="paragraph" w:styleId="TOC4">
    <w:name w:val="toc 4"/>
    <w:basedOn w:val="Normal"/>
    <w:next w:val="Normal"/>
    <w:autoRedefine/>
    <w:uiPriority w:val="39"/>
    <w:rsid w:val="004D1302"/>
    <w:pPr>
      <w:tabs>
        <w:tab w:val="left" w:pos="2552"/>
        <w:tab w:val="right" w:pos="9061"/>
      </w:tabs>
      <w:spacing w:after="100"/>
      <w:ind w:left="2552" w:hanging="851"/>
    </w:pPr>
    <w:rPr>
      <w:noProof/>
    </w:rPr>
  </w:style>
  <w:style w:type="paragraph" w:customStyle="1" w:styleId="ExecSum-Heading1">
    <w:name w:val="Exec Sum - Heading 1"/>
    <w:basedOn w:val="Normal"/>
    <w:next w:val="Normal"/>
    <w:semiHidden/>
    <w:rsid w:val="003C4785"/>
    <w:rPr>
      <w:b/>
      <w:bCs/>
      <w:color w:val="7AB800" w:themeColor="accent1"/>
      <w:sz w:val="28"/>
      <w:szCs w:val="28"/>
    </w:rPr>
  </w:style>
  <w:style w:type="paragraph" w:customStyle="1" w:styleId="ExecSum-Heading2">
    <w:name w:val="Exec Sum - Heading 2"/>
    <w:basedOn w:val="Normal"/>
    <w:next w:val="Normal"/>
    <w:semiHidden/>
    <w:rsid w:val="003C4785"/>
    <w:rPr>
      <w:b/>
      <w:bCs/>
      <w:color w:val="353D30" w:themeColor="accent2"/>
      <w:sz w:val="23"/>
      <w:szCs w:val="23"/>
    </w:rPr>
  </w:style>
  <w:style w:type="paragraph" w:customStyle="1" w:styleId="SingleLineSpacingText">
    <w:name w:val="Single Line Spacing Text"/>
    <w:next w:val="Normal"/>
    <w:semiHidden/>
    <w:qFormat/>
    <w:rsid w:val="00600C65"/>
    <w:pPr>
      <w:spacing w:after="0" w:line="240" w:lineRule="auto"/>
    </w:pPr>
    <w:rPr>
      <w:rFonts w:ascii="Arial" w:hAnsi="Arial" w:cs="Arial"/>
      <w:sz w:val="20"/>
      <w:szCs w:val="20"/>
    </w:rPr>
  </w:style>
  <w:style w:type="paragraph" w:styleId="TableofFigures">
    <w:name w:val="table of figures"/>
    <w:basedOn w:val="Normal"/>
    <w:next w:val="Normal"/>
    <w:uiPriority w:val="99"/>
    <w:rsid w:val="000047A7"/>
    <w:pPr>
      <w:tabs>
        <w:tab w:val="right" w:pos="9072"/>
      </w:tabs>
      <w:spacing w:after="0"/>
      <w:ind w:left="400" w:hanging="400"/>
    </w:pPr>
    <w:rPr>
      <w:rFonts w:asciiTheme="minorHAnsi" w:hAnsiTheme="minorHAnsi" w:cstheme="minorHAnsi"/>
      <w:bCs/>
    </w:rPr>
  </w:style>
  <w:style w:type="paragraph" w:customStyle="1" w:styleId="TOFHeading">
    <w:name w:val="TOF Heading"/>
    <w:next w:val="TableofFigures"/>
    <w:semiHidden/>
    <w:rsid w:val="008D470D"/>
    <w:rPr>
      <w:rFonts w:ascii="Arial" w:eastAsiaTheme="majorEastAsia" w:hAnsi="Arial" w:cstheme="majorBidi"/>
      <w:color w:val="7AB800" w:themeColor="accent1"/>
      <w:spacing w:val="5"/>
      <w:kern w:val="28"/>
      <w:sz w:val="36"/>
      <w:szCs w:val="36"/>
    </w:rPr>
  </w:style>
  <w:style w:type="paragraph" w:customStyle="1" w:styleId="AppendixHeading2">
    <w:name w:val="Appendix Heading 2"/>
    <w:next w:val="Normal"/>
    <w:qFormat/>
    <w:rsid w:val="00600C65"/>
    <w:rPr>
      <w:rFonts w:asciiTheme="majorHAnsi" w:eastAsiaTheme="majorEastAsia" w:hAnsiTheme="majorHAnsi" w:cs="Arial"/>
      <w:b/>
      <w:bCs/>
      <w:color w:val="353D30" w:themeColor="accent2"/>
      <w:sz w:val="24"/>
      <w:szCs w:val="24"/>
    </w:rPr>
  </w:style>
  <w:style w:type="table" w:styleId="MediumGrid1-Accent5">
    <w:name w:val="Medium Grid 1 Accent 5"/>
    <w:basedOn w:val="TableNormal"/>
    <w:uiPriority w:val="67"/>
    <w:rsid w:val="00A564BD"/>
    <w:pPr>
      <w:spacing w:after="0" w:line="240" w:lineRule="auto"/>
    </w:pPr>
    <w:tblPr>
      <w:tblStyleRowBandSize w:val="1"/>
      <w:tblStyleColBandSize w:val="1"/>
      <w:tblInd w:w="0" w:type="dxa"/>
      <w:tblBorders>
        <w:top w:val="single" w:sz="8" w:space="0" w:color="D2EBAA" w:themeColor="accent5" w:themeTint="BF"/>
        <w:left w:val="single" w:sz="8" w:space="0" w:color="D2EBAA" w:themeColor="accent5" w:themeTint="BF"/>
        <w:bottom w:val="single" w:sz="8" w:space="0" w:color="D2EBAA" w:themeColor="accent5" w:themeTint="BF"/>
        <w:right w:val="single" w:sz="8" w:space="0" w:color="D2EBAA" w:themeColor="accent5" w:themeTint="BF"/>
        <w:insideH w:val="single" w:sz="8" w:space="0" w:color="D2EBAA" w:themeColor="accent5" w:themeTint="BF"/>
        <w:insideV w:val="single" w:sz="8" w:space="0" w:color="D2EBAA" w:themeColor="accent5" w:themeTint="BF"/>
      </w:tblBorders>
      <w:tblCellMar>
        <w:top w:w="0" w:type="dxa"/>
        <w:left w:w="108" w:type="dxa"/>
        <w:bottom w:w="0" w:type="dxa"/>
        <w:right w:w="108" w:type="dxa"/>
      </w:tblCellMar>
    </w:tblPr>
    <w:tcPr>
      <w:shd w:val="clear" w:color="auto" w:fill="F0F8E2" w:themeFill="accent5" w:themeFillTint="3F"/>
    </w:tcPr>
    <w:tblStylePr w:type="firstRow">
      <w:rPr>
        <w:b/>
        <w:bCs/>
      </w:rPr>
      <w:tblPr/>
      <w:tcPr>
        <w:shd w:val="clear" w:color="auto" w:fill="7AB800" w:themeFill="accent1"/>
      </w:tcPr>
    </w:tblStylePr>
    <w:tblStylePr w:type="lastRow">
      <w:rPr>
        <w:b/>
        <w:bCs/>
      </w:rPr>
      <w:tblPr/>
      <w:tcPr>
        <w:tcBorders>
          <w:top w:val="single" w:sz="18" w:space="0" w:color="D2EBAA" w:themeColor="accent5" w:themeTint="BF"/>
        </w:tcBorders>
      </w:tcPr>
    </w:tblStylePr>
    <w:tblStylePr w:type="firstCol">
      <w:rPr>
        <w:b/>
        <w:bCs/>
      </w:rPr>
    </w:tblStylePr>
    <w:tblStylePr w:type="lastCol">
      <w:rPr>
        <w:b/>
        <w:bCs/>
      </w:rPr>
    </w:tblStylePr>
    <w:tblStylePr w:type="band1Vert">
      <w:tblPr/>
      <w:tcPr>
        <w:shd w:val="clear" w:color="auto" w:fill="E1F2C6" w:themeFill="accent5" w:themeFillTint="7F"/>
      </w:tcPr>
    </w:tblStylePr>
    <w:tblStylePr w:type="band1Horz">
      <w:tblPr/>
      <w:tcPr>
        <w:shd w:val="clear" w:color="auto" w:fill="E1F2C6" w:themeFill="accent5" w:themeFillTint="7F"/>
      </w:tcPr>
    </w:tblStylePr>
  </w:style>
  <w:style w:type="table" w:customStyle="1" w:styleId="AureconBasicTable1">
    <w:name w:val="Aurecon Basic Table 1"/>
    <w:basedOn w:val="TableNormal"/>
    <w:uiPriority w:val="99"/>
    <w:rsid w:val="00A564BD"/>
    <w:pPr>
      <w:spacing w:after="0" w:line="240" w:lineRule="auto"/>
    </w:pPr>
    <w:rPr>
      <w:sz w:val="18"/>
    </w:rPr>
    <w:tblPr>
      <w:tblStyleRowBandSize w:val="1"/>
      <w:tblInd w:w="0" w:type="dxa"/>
      <w:tblBorders>
        <w:left w:val="single" w:sz="4" w:space="0" w:color="7AB800" w:themeColor="accent1"/>
        <w:bottom w:val="single" w:sz="4" w:space="0" w:color="7AB800" w:themeColor="accent1"/>
        <w:right w:val="single" w:sz="4" w:space="0" w:color="7AB800" w:themeColor="accent1"/>
        <w:insideV w:val="single" w:sz="4" w:space="0" w:color="7AB800" w:themeColor="accent1"/>
      </w:tblBorders>
      <w:tblCellMar>
        <w:top w:w="0" w:type="dxa"/>
        <w:left w:w="108" w:type="dxa"/>
        <w:bottom w:w="0" w:type="dxa"/>
        <w:right w:w="108" w:type="dxa"/>
      </w:tblCellMar>
    </w:tblPr>
    <w:tblStylePr w:type="firstRow">
      <w:pPr>
        <w:wordWrap/>
        <w:jc w:val="left"/>
      </w:pPr>
      <w:rPr>
        <w:b/>
      </w:rPr>
      <w:tblPr/>
      <w:tcPr>
        <w:shd w:val="clear" w:color="auto" w:fill="7AB800" w:themeFill="accent1"/>
        <w:vAlign w:val="center"/>
      </w:tcPr>
    </w:tblStylePr>
    <w:tblStylePr w:type="band1Horz">
      <w:tblPr/>
      <w:tcPr>
        <w:shd w:val="clear" w:color="auto" w:fill="E7F4D1" w:themeFill="accent5" w:themeFillTint="66"/>
      </w:tcPr>
    </w:tblStylePr>
  </w:style>
  <w:style w:type="table" w:customStyle="1" w:styleId="AureconTableStyle2">
    <w:name w:val="Aurecon Table Style 2"/>
    <w:basedOn w:val="TableNormal"/>
    <w:uiPriority w:val="99"/>
    <w:rsid w:val="00435CCD"/>
    <w:pPr>
      <w:spacing w:after="0" w:line="240" w:lineRule="auto"/>
    </w:pPr>
    <w:rPr>
      <w:sz w:val="18"/>
    </w:rPr>
    <w:tblPr>
      <w:tblStyleRowBandSize w:val="1"/>
      <w:tblInd w:w="0" w:type="dxa"/>
      <w:tblBorders>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cPr>
      <w:shd w:val="clear" w:color="auto" w:fill="FFFFFF" w:themeFill="background1"/>
      <w:vAlign w:val="center"/>
    </w:tcPr>
    <w:tblStylePr w:type="firstRow">
      <w:rPr>
        <w:rFonts w:ascii="Arial" w:hAnsi="Arial"/>
        <w:b/>
        <w:color w:val="8A9285" w:themeColor="accent3" w:themeShade="BF"/>
        <w:sz w:val="20"/>
      </w:rPr>
      <w:tblPr/>
      <w:tcPr>
        <w:shd w:val="clear" w:color="auto" w:fill="FFFFFF" w:themeFill="background1"/>
      </w:tcPr>
    </w:tblStylePr>
    <w:tblStylePr w:type="firstCol">
      <w:pPr>
        <w:jc w:val="left"/>
      </w:pPr>
      <w:rPr>
        <w:b/>
      </w:rPr>
      <w:tblPr/>
      <w:tcPr>
        <w:shd w:val="clear" w:color="auto" w:fill="BABFB7" w:themeFill="accent3"/>
        <w:vAlign w:val="center"/>
      </w:tcPr>
    </w:tblStylePr>
    <w:tblStylePr w:type="band1Horz">
      <w:tblPr/>
      <w:tcPr>
        <w:shd w:val="clear" w:color="auto" w:fill="EAECE9" w:themeFill="accent6"/>
      </w:tcPr>
    </w:tblStylePr>
  </w:style>
  <w:style w:type="table" w:styleId="ColorfulGrid-Accent5">
    <w:name w:val="Colorful Grid Accent 5"/>
    <w:basedOn w:val="TableNormal"/>
    <w:uiPriority w:val="73"/>
    <w:rsid w:val="004C017C"/>
    <w:pPr>
      <w:spacing w:after="0" w:line="240" w:lineRule="auto"/>
    </w:pPr>
    <w:rPr>
      <w:color w:val="353D3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3F9E8" w:themeFill="accent5" w:themeFillTint="33"/>
    </w:tcPr>
    <w:tblStylePr w:type="firstRow">
      <w:rPr>
        <w:b/>
        <w:bCs/>
      </w:rPr>
      <w:tblPr/>
      <w:tcPr>
        <w:shd w:val="clear" w:color="auto" w:fill="E7F4D1" w:themeFill="accent5" w:themeFillTint="66"/>
      </w:tcPr>
    </w:tblStylePr>
    <w:tblStylePr w:type="lastRow">
      <w:rPr>
        <w:b/>
        <w:bCs/>
        <w:color w:val="353D30" w:themeColor="text1"/>
      </w:rPr>
      <w:tblPr/>
      <w:tcPr>
        <w:shd w:val="clear" w:color="auto" w:fill="E7F4D1" w:themeFill="accent5" w:themeFillTint="66"/>
      </w:tcPr>
    </w:tblStylePr>
    <w:tblStylePr w:type="firstCol">
      <w:rPr>
        <w:color w:val="FFFFFF" w:themeColor="background1"/>
      </w:rPr>
      <w:tblPr/>
      <w:tcPr>
        <w:shd w:val="clear" w:color="auto" w:fill="9CD342" w:themeFill="accent5" w:themeFillShade="BF"/>
      </w:tcPr>
    </w:tblStylePr>
    <w:tblStylePr w:type="lastCol">
      <w:rPr>
        <w:color w:val="FFFFFF" w:themeColor="background1"/>
      </w:rPr>
      <w:tblPr/>
      <w:tcPr>
        <w:shd w:val="clear" w:color="auto" w:fill="9CD342" w:themeFill="accent5" w:themeFillShade="BF"/>
      </w:tcPr>
    </w:tblStylePr>
    <w:tblStylePr w:type="band1Vert">
      <w:tblPr/>
      <w:tcPr>
        <w:shd w:val="clear" w:color="auto" w:fill="E1F2C6" w:themeFill="accent5" w:themeFillTint="7F"/>
      </w:tcPr>
    </w:tblStylePr>
    <w:tblStylePr w:type="band1Horz">
      <w:tblPr/>
      <w:tcPr>
        <w:shd w:val="clear" w:color="auto" w:fill="E1F2C6" w:themeFill="accent5" w:themeFillTint="7F"/>
      </w:tcPr>
    </w:tblStylePr>
  </w:style>
  <w:style w:type="table" w:customStyle="1" w:styleId="Style1">
    <w:name w:val="Style1"/>
    <w:basedOn w:val="TableNormal"/>
    <w:uiPriority w:val="99"/>
    <w:qFormat/>
    <w:rsid w:val="00207A43"/>
    <w:pPr>
      <w:spacing w:after="0" w:line="240" w:lineRule="auto"/>
      <w:jc w:val="center"/>
    </w:pPr>
    <w:rPr>
      <w:rFonts w:ascii="Arial" w:hAnsi="Arial"/>
      <w:sz w:val="18"/>
      <w:lang w:val="en-AU"/>
    </w:rPr>
    <w:tblPr>
      <w:tblStyleRowBandSize w:val="1"/>
      <w:tblStyleColBandSize w:val="1"/>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rPr>
      <w:jc w:val="center"/>
    </w:trPr>
    <w:tcPr>
      <w:shd w:val="clear" w:color="auto" w:fill="F1F9E5"/>
      <w:vAlign w:val="center"/>
    </w:tcPr>
    <w:tblStylePr w:type="firstRow">
      <w:pPr>
        <w:wordWrap/>
        <w:jc w:val="center"/>
      </w:pPr>
      <w:rPr>
        <w:rFonts w:ascii="Arial" w:hAnsi="Arial"/>
        <w:b/>
        <w:sz w:val="18"/>
      </w:rPr>
      <w:tblPr/>
      <w:tcPr>
        <w:shd w:val="clear" w:color="auto" w:fill="C4E58E"/>
      </w:tcPr>
    </w:tblStylePr>
    <w:tblStylePr w:type="firstCol">
      <w:pPr>
        <w:wordWrap/>
        <w:spacing w:beforeLines="0" w:beforeAutospacing="0" w:afterLines="0" w:afterAutospacing="0" w:line="240" w:lineRule="auto"/>
        <w:jc w:val="left"/>
      </w:pPr>
    </w:tblStylePr>
    <w:tblStylePr w:type="band1Horz">
      <w:pPr>
        <w:wordWrap/>
        <w:spacing w:beforeLines="0" w:beforeAutospacing="0" w:afterLines="0" w:afterAutospacing="0" w:line="240" w:lineRule="auto"/>
        <w:jc w:val="left"/>
      </w:pPr>
      <w:tblPr/>
      <w:tcPr>
        <w:shd w:val="clear" w:color="auto" w:fill="F2F2F2" w:themeFill="background1" w:themeFillShade="F2"/>
      </w:tcPr>
    </w:tblStylePr>
    <w:tblStylePr w:type="band2Horz">
      <w:pPr>
        <w:wordWrap/>
        <w:spacing w:beforeLines="0" w:beforeAutospacing="0" w:afterLines="0" w:afterAutospacing="0" w:line="240" w:lineRule="auto"/>
        <w:jc w:val="left"/>
      </w:pPr>
    </w:tblStylePr>
  </w:style>
  <w:style w:type="table" w:customStyle="1" w:styleId="Style3">
    <w:name w:val="Style 3"/>
    <w:basedOn w:val="TableNormal"/>
    <w:uiPriority w:val="99"/>
    <w:qFormat/>
    <w:rsid w:val="004C017C"/>
    <w:pPr>
      <w:spacing w:before="30" w:after="30" w:line="240" w:lineRule="auto"/>
    </w:pPr>
    <w:rPr>
      <w:rFonts w:ascii="Arial" w:hAnsi="Arial"/>
      <w:sz w:val="18"/>
      <w:lang w:val="en-AU"/>
    </w:rPr>
    <w:tblPr>
      <w:tblStyleRowBandSize w:val="1"/>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b/>
        <w:sz w:val="18"/>
      </w:rPr>
      <w:tblPr/>
      <w:tcPr>
        <w:shd w:val="clear" w:color="auto" w:fill="353D30" w:themeFill="accent2"/>
      </w:tcPr>
    </w:tblStylePr>
    <w:tblStylePr w:type="firstCol">
      <w:tblPr/>
      <w:tcPr>
        <w:shd w:val="clear" w:color="auto" w:fill="353D30" w:themeFill="accent2"/>
      </w:tcPr>
    </w:tblStylePr>
    <w:tblStylePr w:type="band2Horz">
      <w:tblPr/>
      <w:tcPr>
        <w:shd w:val="clear" w:color="auto" w:fill="C4E58E"/>
      </w:tcPr>
    </w:tblStylePr>
  </w:style>
  <w:style w:type="table" w:customStyle="1" w:styleId="Style30">
    <w:name w:val="Style3"/>
    <w:basedOn w:val="TableNormal"/>
    <w:uiPriority w:val="99"/>
    <w:qFormat/>
    <w:rsid w:val="004C017C"/>
    <w:pPr>
      <w:spacing w:before="30" w:after="30" w:line="240" w:lineRule="auto"/>
    </w:pPr>
    <w:rPr>
      <w:rFonts w:ascii="Arial" w:hAnsi="Arial"/>
      <w:sz w:val="18"/>
      <w:lang w:val="en-AU"/>
    </w:rPr>
    <w:tblPr>
      <w:tblStyleRowBandSize w:val="1"/>
      <w:tblStyleColBandSize w:val="1"/>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tblPr/>
      <w:tcPr>
        <w:tcBorders>
          <w:bottom w:val="single" w:sz="4" w:space="0" w:color="7AB800" w:themeColor="accent1"/>
        </w:tcBorders>
        <w:shd w:val="clear" w:color="auto" w:fill="F1F9E5"/>
      </w:tcPr>
    </w:tblStylePr>
    <w:tblStylePr w:type="lastRow">
      <w:tblPr/>
      <w:tcPr>
        <w:shd w:val="clear" w:color="auto" w:fill="F2F2F2" w:themeFill="background1" w:themeFillShade="F2"/>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table" w:customStyle="1" w:styleId="Style2">
    <w:name w:val="Style2"/>
    <w:basedOn w:val="LightShading-Accent4"/>
    <w:uiPriority w:val="99"/>
    <w:qFormat/>
    <w:rsid w:val="004C017C"/>
    <w:pPr>
      <w:spacing w:before="30" w:after="30"/>
    </w:pPr>
    <w:rPr>
      <w:rFonts w:ascii="Arial" w:hAnsi="Arial"/>
      <w:color w:val="7AB800" w:themeColor="accent1"/>
      <w:sz w:val="18"/>
      <w:szCs w:val="20"/>
      <w:lang w:val="en-AU" w:eastAsia="en-AU"/>
    </w:rPr>
    <w:tblPr>
      <w:tblStyleRowBandSize w:val="1"/>
      <w:tblStyleColBandSize w:val="1"/>
      <w:tblInd w:w="0" w:type="dxa"/>
      <w:tblBorders>
        <w:top w:val="single" w:sz="8" w:space="0" w:color="EFF0EF" w:themeColor="accent4"/>
        <w:bottom w:val="single" w:sz="4" w:space="0" w:color="7AB8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4" w:space="0" w:color="7AB800" w:themeColor="accent1"/>
          <w:left w:val="nil"/>
          <w:bottom w:val="single" w:sz="4" w:space="0" w:color="7AB800" w:themeColor="accent1"/>
          <w:right w:val="nil"/>
          <w:insideH w:val="nil"/>
          <w:insideV w:val="nil"/>
        </w:tcBorders>
      </w:tcPr>
    </w:tblStylePr>
    <w:tblStylePr w:type="lastRow">
      <w:pPr>
        <w:spacing w:before="0" w:after="0" w:line="240" w:lineRule="auto"/>
      </w:pPr>
      <w:rPr>
        <w:b/>
        <w:bCs/>
      </w:rPr>
      <w:tblPr/>
      <w:tcPr>
        <w:tcBorders>
          <w:top w:val="single" w:sz="4" w:space="0" w:color="7AB800" w:themeColor="accent1"/>
          <w:left w:val="nil"/>
          <w:bottom w:val="single" w:sz="4" w:space="0" w:color="7AB800" w:themeColor="accen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4" w:themeFillTint="3F"/>
      </w:tcPr>
    </w:tblStylePr>
    <w:tblStylePr w:type="band1Horz">
      <w:tblPr/>
      <w:tcPr>
        <w:tcBorders>
          <w:left w:val="nil"/>
          <w:right w:val="nil"/>
          <w:insideH w:val="nil"/>
          <w:insideV w:val="nil"/>
        </w:tcBorders>
        <w:shd w:val="clear" w:color="auto" w:fill="FBFBFB" w:themeFill="accent4" w:themeFillTint="3F"/>
      </w:tcPr>
    </w:tblStylePr>
    <w:tblStylePr w:type="band2Horz">
      <w:tblPr/>
      <w:tcPr>
        <w:shd w:val="clear" w:color="auto" w:fill="C4E58E"/>
      </w:tcPr>
    </w:tblStylePr>
  </w:style>
  <w:style w:type="table" w:styleId="LightShading-Accent4">
    <w:name w:val="Light Shading Accent 4"/>
    <w:basedOn w:val="TableNormal"/>
    <w:uiPriority w:val="60"/>
    <w:rsid w:val="004C017C"/>
    <w:pPr>
      <w:spacing w:after="0" w:line="240" w:lineRule="auto"/>
    </w:pPr>
    <w:rPr>
      <w:color w:val="B0B5B0" w:themeColor="accent4" w:themeShade="BF"/>
    </w:rPr>
    <w:tblPr>
      <w:tblStyleRowBandSize w:val="1"/>
      <w:tblStyleColBandSize w:val="1"/>
      <w:tblInd w:w="0" w:type="dxa"/>
      <w:tblBorders>
        <w:top w:val="single" w:sz="8" w:space="0" w:color="EFF0EF" w:themeColor="accent4"/>
        <w:bottom w:val="single" w:sz="8" w:space="0" w:color="EFF0E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F0EF" w:themeColor="accent4"/>
          <w:left w:val="nil"/>
          <w:bottom w:val="single" w:sz="8" w:space="0" w:color="EFF0EF" w:themeColor="accent4"/>
          <w:right w:val="nil"/>
          <w:insideH w:val="nil"/>
          <w:insideV w:val="nil"/>
        </w:tcBorders>
      </w:tcPr>
    </w:tblStylePr>
    <w:tblStylePr w:type="lastRow">
      <w:pPr>
        <w:spacing w:before="0" w:after="0" w:line="240" w:lineRule="auto"/>
      </w:pPr>
      <w:rPr>
        <w:b/>
        <w:bCs/>
      </w:rPr>
      <w:tblPr/>
      <w:tcPr>
        <w:tcBorders>
          <w:top w:val="single" w:sz="8" w:space="0" w:color="EFF0EF" w:themeColor="accent4"/>
          <w:left w:val="nil"/>
          <w:bottom w:val="single" w:sz="8" w:space="0" w:color="EFF0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4" w:themeFillTint="3F"/>
      </w:tcPr>
    </w:tblStylePr>
    <w:tblStylePr w:type="band1Horz">
      <w:tblPr/>
      <w:tcPr>
        <w:tcBorders>
          <w:left w:val="nil"/>
          <w:right w:val="nil"/>
          <w:insideH w:val="nil"/>
          <w:insideV w:val="nil"/>
        </w:tcBorders>
        <w:shd w:val="clear" w:color="auto" w:fill="FBFBFB" w:themeFill="accent4" w:themeFillTint="3F"/>
      </w:tcPr>
    </w:tblStylePr>
  </w:style>
  <w:style w:type="paragraph" w:customStyle="1" w:styleId="AppendixChapterHeading">
    <w:name w:val="Appendix Chapter Heading"/>
    <w:basedOn w:val="Title"/>
    <w:link w:val="AppendixChapterHeadingChar"/>
    <w:semiHidden/>
    <w:qFormat/>
    <w:rsid w:val="00F54FC4"/>
    <w:rPr>
      <w:bCs/>
    </w:rPr>
  </w:style>
  <w:style w:type="character" w:customStyle="1" w:styleId="AppendixChapterHeadingChar">
    <w:name w:val="Appendix Chapter Heading Char"/>
    <w:basedOn w:val="ChapterHeadingChar"/>
    <w:link w:val="AppendixChapterHeading"/>
    <w:semiHidden/>
    <w:rsid w:val="000874AA"/>
    <w:rPr>
      <w:rFonts w:ascii="Arial" w:eastAsiaTheme="majorEastAsia" w:hAnsi="Arial" w:cstheme="majorBidi"/>
      <w:b/>
      <w:bCs/>
      <w:color w:val="7AB800" w:themeColor="accent1"/>
      <w:spacing w:val="5"/>
      <w:kern w:val="28"/>
      <w:sz w:val="70"/>
      <w:szCs w:val="52"/>
      <w:lang w:val="en-AU"/>
    </w:rPr>
  </w:style>
  <w:style w:type="paragraph" w:customStyle="1" w:styleId="Subject">
    <w:name w:val="Subject"/>
    <w:basedOn w:val="Normal"/>
    <w:link w:val="SubjectChar"/>
    <w:semiHidden/>
    <w:rsid w:val="00AE2D6C"/>
    <w:rPr>
      <w:b/>
      <w:caps/>
      <w:color w:val="7AB800" w:themeColor="accent1"/>
    </w:rPr>
  </w:style>
  <w:style w:type="character" w:customStyle="1" w:styleId="SubjectChar">
    <w:name w:val="Subject Char"/>
    <w:basedOn w:val="DefaultParagraphFont"/>
    <w:link w:val="Subject"/>
    <w:semiHidden/>
    <w:rsid w:val="00B31691"/>
    <w:rPr>
      <w:rFonts w:ascii="Arial" w:hAnsi="Arial" w:cs="Arial"/>
      <w:b/>
      <w:caps/>
      <w:color w:val="7AB800" w:themeColor="accent1"/>
      <w:sz w:val="20"/>
      <w:szCs w:val="20"/>
    </w:rPr>
  </w:style>
  <w:style w:type="paragraph" w:styleId="Subtitle">
    <w:name w:val="Subtitle"/>
    <w:basedOn w:val="Normal"/>
    <w:next w:val="Normal"/>
    <w:link w:val="SubtitleChar"/>
    <w:uiPriority w:val="11"/>
    <w:qFormat/>
    <w:rsid w:val="00600C65"/>
    <w:pPr>
      <w:numPr>
        <w:ilvl w:val="1"/>
      </w:numPr>
    </w:pPr>
    <w:rPr>
      <w:rFonts w:asciiTheme="majorHAnsi" w:eastAsiaTheme="majorEastAsia" w:hAnsiTheme="majorHAnsi" w:cstheme="majorBidi"/>
      <w:i/>
      <w:iCs/>
      <w:color w:val="7AB800" w:themeColor="accent1"/>
      <w:spacing w:val="15"/>
      <w:sz w:val="24"/>
      <w:szCs w:val="24"/>
    </w:rPr>
  </w:style>
  <w:style w:type="character" w:customStyle="1" w:styleId="SubtitleChar">
    <w:name w:val="Subtitle Char"/>
    <w:basedOn w:val="DefaultParagraphFont"/>
    <w:link w:val="Subtitle"/>
    <w:uiPriority w:val="11"/>
    <w:rsid w:val="005C70E6"/>
    <w:rPr>
      <w:rFonts w:asciiTheme="majorHAnsi" w:eastAsiaTheme="majorEastAsia" w:hAnsiTheme="majorHAnsi" w:cstheme="majorBidi"/>
      <w:i/>
      <w:iCs/>
      <w:color w:val="7AB800" w:themeColor="accent1"/>
      <w:spacing w:val="15"/>
      <w:sz w:val="24"/>
      <w:szCs w:val="24"/>
    </w:rPr>
  </w:style>
  <w:style w:type="character" w:styleId="Emphasis">
    <w:name w:val="Emphasis"/>
    <w:uiPriority w:val="20"/>
    <w:qFormat/>
    <w:rsid w:val="00600C65"/>
    <w:rPr>
      <w:i/>
      <w:iCs/>
    </w:rPr>
  </w:style>
  <w:style w:type="character" w:styleId="IntenseEmphasis">
    <w:name w:val="Intense Emphasis"/>
    <w:uiPriority w:val="21"/>
    <w:qFormat/>
    <w:rsid w:val="00600C65"/>
    <w:rPr>
      <w:b/>
      <w:bCs/>
      <w:i/>
      <w:iCs/>
      <w:color w:val="7AB800" w:themeColor="accent1"/>
    </w:rPr>
  </w:style>
  <w:style w:type="character" w:styleId="SubtleReference">
    <w:name w:val="Subtle Reference"/>
    <w:uiPriority w:val="31"/>
    <w:qFormat/>
    <w:rsid w:val="00600C65"/>
    <w:rPr>
      <w:smallCaps/>
      <w:color w:val="353D30" w:themeColor="accent2"/>
      <w:u w:val="single"/>
    </w:rPr>
  </w:style>
  <w:style w:type="character" w:styleId="IntenseReference">
    <w:name w:val="Intense Reference"/>
    <w:uiPriority w:val="32"/>
    <w:qFormat/>
    <w:rsid w:val="00600C65"/>
    <w:rPr>
      <w:b/>
      <w:bCs/>
      <w:smallCaps/>
      <w:color w:val="353D30" w:themeColor="accent2"/>
      <w:spacing w:val="5"/>
      <w:u w:val="single"/>
    </w:rPr>
  </w:style>
  <w:style w:type="paragraph" w:styleId="ListNumber">
    <w:name w:val="List Number"/>
    <w:basedOn w:val="ChapterHeading"/>
    <w:uiPriority w:val="99"/>
    <w:semiHidden/>
    <w:rsid w:val="006D0502"/>
    <w:pPr>
      <w:numPr>
        <w:numId w:val="3"/>
      </w:numPr>
      <w:contextualSpacing/>
    </w:pPr>
  </w:style>
  <w:style w:type="paragraph" w:styleId="ListNumber2">
    <w:name w:val="List Number 2"/>
    <w:basedOn w:val="Heading1"/>
    <w:uiPriority w:val="99"/>
    <w:semiHidden/>
    <w:rsid w:val="006D0502"/>
    <w:pPr>
      <w:numPr>
        <w:numId w:val="4"/>
      </w:numPr>
      <w:contextualSpacing/>
    </w:pPr>
  </w:style>
  <w:style w:type="paragraph" w:customStyle="1" w:styleId="Bullet1">
    <w:name w:val="Bullet 1"/>
    <w:basedOn w:val="ListParagraph"/>
    <w:link w:val="Bullet1Char"/>
    <w:qFormat/>
    <w:rsid w:val="00B233CC"/>
    <w:pPr>
      <w:numPr>
        <w:numId w:val="16"/>
      </w:numPr>
      <w:spacing w:before="60" w:line="240" w:lineRule="auto"/>
      <w:contextualSpacing w:val="0"/>
    </w:pPr>
  </w:style>
  <w:style w:type="paragraph" w:customStyle="1" w:styleId="Bullet2">
    <w:name w:val="Bullet 2"/>
    <w:basedOn w:val="ListParagraph"/>
    <w:qFormat/>
    <w:rsid w:val="00600C65"/>
    <w:pPr>
      <w:numPr>
        <w:ilvl w:val="1"/>
        <w:numId w:val="6"/>
      </w:numPr>
      <w:spacing w:after="60"/>
    </w:pPr>
  </w:style>
  <w:style w:type="paragraph" w:customStyle="1" w:styleId="Bullet3">
    <w:name w:val="Bullet 3"/>
    <w:basedOn w:val="ListParagraph"/>
    <w:qFormat/>
    <w:rsid w:val="00600C65"/>
    <w:pPr>
      <w:numPr>
        <w:ilvl w:val="2"/>
        <w:numId w:val="7"/>
      </w:numPr>
      <w:spacing w:after="60"/>
    </w:pPr>
  </w:style>
  <w:style w:type="paragraph" w:styleId="TOC9">
    <w:name w:val="toc 9"/>
    <w:basedOn w:val="Normal"/>
    <w:next w:val="Normal"/>
    <w:autoRedefine/>
    <w:uiPriority w:val="39"/>
    <w:rsid w:val="00704496"/>
    <w:pPr>
      <w:spacing w:after="100"/>
    </w:pPr>
    <w:rPr>
      <w:b/>
      <w:color w:val="7AB800" w:themeColor="accent1"/>
    </w:rPr>
  </w:style>
  <w:style w:type="table" w:customStyle="1" w:styleId="LightShading-Accent11">
    <w:name w:val="Light Shading - Accent 11"/>
    <w:basedOn w:val="TableNormal"/>
    <w:uiPriority w:val="60"/>
    <w:rsid w:val="009510AE"/>
    <w:pPr>
      <w:spacing w:after="0" w:line="240" w:lineRule="auto"/>
    </w:pPr>
    <w:rPr>
      <w:color w:val="5B8900" w:themeColor="accent1" w:themeShade="BF"/>
    </w:rPr>
    <w:tblPr>
      <w:tblStyleRowBandSize w:val="1"/>
      <w:tblStyleColBandSize w:val="1"/>
      <w:tblInd w:w="0" w:type="dxa"/>
      <w:tblBorders>
        <w:top w:val="single" w:sz="8" w:space="0" w:color="7AB800" w:themeColor="accent1"/>
        <w:bottom w:val="single" w:sz="8" w:space="0" w:color="7AB8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B800" w:themeColor="accent1"/>
          <w:left w:val="nil"/>
          <w:bottom w:val="single" w:sz="8" w:space="0" w:color="7AB800" w:themeColor="accent1"/>
          <w:right w:val="nil"/>
          <w:insideH w:val="nil"/>
          <w:insideV w:val="nil"/>
        </w:tcBorders>
      </w:tcPr>
    </w:tblStylePr>
    <w:tblStylePr w:type="lastRow">
      <w:pPr>
        <w:spacing w:before="0" w:after="0" w:line="240" w:lineRule="auto"/>
      </w:pPr>
      <w:rPr>
        <w:b/>
        <w:bCs/>
      </w:rPr>
      <w:tblPr/>
      <w:tcPr>
        <w:tcBorders>
          <w:top w:val="single" w:sz="8" w:space="0" w:color="7AB800" w:themeColor="accent1"/>
          <w:left w:val="nil"/>
          <w:bottom w:val="single" w:sz="8" w:space="0" w:color="7AB800"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C4E58E" w:themeFill="accent5"/>
      </w:tcPr>
    </w:tblStylePr>
    <w:tblStylePr w:type="band1Horz">
      <w:tblPr/>
      <w:tcPr>
        <w:shd w:val="clear" w:color="auto" w:fill="C4E58E" w:themeFill="accent5"/>
      </w:tcPr>
    </w:tblStylePr>
  </w:style>
  <w:style w:type="table" w:customStyle="1" w:styleId="LightList-Accent11">
    <w:name w:val="Light List - Accent 11"/>
    <w:basedOn w:val="TableNormal"/>
    <w:uiPriority w:val="61"/>
    <w:rsid w:val="009510AE"/>
    <w:pPr>
      <w:spacing w:after="0" w:line="240" w:lineRule="auto"/>
    </w:p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B800" w:themeFill="accent1"/>
      </w:tcPr>
    </w:tblStylePr>
    <w:tblStylePr w:type="lastRow">
      <w:pPr>
        <w:spacing w:before="0" w:after="0" w:line="240" w:lineRule="auto"/>
      </w:pPr>
      <w:rPr>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tcBorders>
      </w:tcPr>
    </w:tblStylePr>
    <w:tblStylePr w:type="firstCol">
      <w:rPr>
        <w:b/>
        <w:bCs/>
      </w:rPr>
    </w:tblStylePr>
    <w:tblStylePr w:type="lastCol">
      <w:rPr>
        <w:b/>
        <w:bCs/>
      </w:rPr>
    </w:tblStylePr>
    <w:tblStylePr w:type="band1Vert">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style>
  <w:style w:type="table" w:customStyle="1" w:styleId="LightGrid-Accent11">
    <w:name w:val="Light Grid - Accent 11"/>
    <w:basedOn w:val="TableNormal"/>
    <w:uiPriority w:val="62"/>
    <w:rsid w:val="009510AE"/>
    <w:pPr>
      <w:spacing w:after="0" w:line="240" w:lineRule="auto"/>
    </w:p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insideH w:val="single" w:sz="8" w:space="0" w:color="7AB800" w:themeColor="accent1"/>
        <w:insideV w:val="single" w:sz="8" w:space="0" w:color="7AB80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B800" w:themeColor="accent1"/>
          <w:left w:val="single" w:sz="8" w:space="0" w:color="7AB800" w:themeColor="accent1"/>
          <w:bottom w:val="single" w:sz="18" w:space="0" w:color="7AB800" w:themeColor="accent1"/>
          <w:right w:val="single" w:sz="8" w:space="0" w:color="7AB800" w:themeColor="accent1"/>
          <w:insideH w:val="nil"/>
          <w:insideV w:val="single" w:sz="8" w:space="0" w:color="7AB8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insideH w:val="nil"/>
          <w:insideV w:val="single" w:sz="8" w:space="0" w:color="7AB8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Vert">
      <w:tblPr/>
      <w:tcPr>
        <w:shd w:val="clear" w:color="auto" w:fill="C4E58E" w:themeFill="accent5"/>
      </w:tcPr>
    </w:tblStylePr>
    <w:tblStylePr w:type="band1Horz">
      <w:tblPr/>
      <w:tcPr>
        <w:shd w:val="clear" w:color="auto" w:fill="C4E58E" w:themeFill="accent5"/>
      </w:tcPr>
    </w:tblStylePr>
    <w:tblStylePr w:type="band2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insideV w:val="single" w:sz="8" w:space="0" w:color="7AB800" w:themeColor="accent1"/>
        </w:tcBorders>
      </w:tcPr>
    </w:tblStylePr>
  </w:style>
  <w:style w:type="table" w:customStyle="1" w:styleId="MediumShading1-Accent11">
    <w:name w:val="Medium Shading 1 - Accent 11"/>
    <w:basedOn w:val="TableNormal"/>
    <w:uiPriority w:val="63"/>
    <w:rsid w:val="00BC3104"/>
    <w:pPr>
      <w:spacing w:after="0" w:line="240" w:lineRule="auto"/>
    </w:pPr>
    <w:tblPr>
      <w:tblStyleRowBandSize w:val="1"/>
      <w:tblStyleColBandSize w:val="1"/>
      <w:tblInd w:w="0" w:type="dxa"/>
      <w:tblBorders>
        <w:top w:val="single" w:sz="8" w:space="0" w:color="ACFF0A" w:themeColor="accent1" w:themeTint="BF"/>
        <w:left w:val="single" w:sz="8" w:space="0" w:color="ACFF0A" w:themeColor="accent1" w:themeTint="BF"/>
        <w:bottom w:val="single" w:sz="8" w:space="0" w:color="ACFF0A" w:themeColor="accent1" w:themeTint="BF"/>
        <w:right w:val="single" w:sz="8" w:space="0" w:color="ACFF0A" w:themeColor="accent1" w:themeTint="BF"/>
        <w:insideH w:val="single" w:sz="8" w:space="0" w:color="ACFF0A" w:themeColor="accent1" w:themeTint="BF"/>
      </w:tblBorders>
      <w:tblCellMar>
        <w:top w:w="0" w:type="dxa"/>
        <w:left w:w="108" w:type="dxa"/>
        <w:bottom w:w="0" w:type="dxa"/>
        <w:right w:w="108" w:type="dxa"/>
      </w:tblCellMar>
    </w:tblPr>
    <w:tblStylePr w:type="firstRow">
      <w:pPr>
        <w:spacing w:before="0" w:after="0" w:line="240" w:lineRule="auto"/>
      </w:pPr>
      <w:rPr>
        <w:b/>
        <w:bCs/>
        <w:color w:val="auto"/>
      </w:rPr>
      <w:tblPr/>
      <w:tcPr>
        <w:tcBorders>
          <w:top w:val="single" w:sz="4" w:space="0" w:color="353D30" w:themeColor="text1"/>
          <w:left w:val="single" w:sz="4" w:space="0" w:color="353D30" w:themeColor="text1"/>
          <w:bottom w:val="single" w:sz="4" w:space="0" w:color="353D30" w:themeColor="text1"/>
          <w:right w:val="single" w:sz="4" w:space="0" w:color="353D30" w:themeColor="text1"/>
          <w:insideH w:val="single" w:sz="4" w:space="0" w:color="353D30" w:themeColor="text1"/>
          <w:insideV w:val="single" w:sz="4" w:space="0" w:color="353D30" w:themeColor="text1"/>
        </w:tcBorders>
        <w:shd w:val="clear" w:color="auto" w:fill="353D30" w:themeFill="text1"/>
      </w:tcPr>
    </w:tblStylePr>
    <w:tblStylePr w:type="lastRow">
      <w:pPr>
        <w:spacing w:before="0" w:after="0" w:line="240" w:lineRule="auto"/>
      </w:pPr>
      <w:rPr>
        <w:b/>
        <w:bCs/>
      </w:rPr>
      <w:tblPr/>
      <w:tcPr>
        <w:tcBorders>
          <w:top w:val="single" w:sz="4" w:space="0" w:color="353D30" w:themeColor="text1"/>
          <w:left w:val="single" w:sz="4" w:space="0" w:color="353D30" w:themeColor="text1"/>
          <w:bottom w:val="single" w:sz="4" w:space="0" w:color="353D30" w:themeColor="text1"/>
          <w:right w:val="single" w:sz="4" w:space="0" w:color="353D30" w:themeColor="text1"/>
          <w:insideH w:val="single" w:sz="4" w:space="0" w:color="353D30" w:themeColor="text1"/>
          <w:insideV w:val="single" w:sz="4" w:space="0" w:color="353D30" w:themeColor="text1"/>
          <w:tl2br w:val="nil"/>
          <w:tr2bl w:val="nil"/>
        </w:tcBorders>
      </w:tcPr>
    </w:tblStylePr>
    <w:tblStylePr w:type="firstCol">
      <w:rPr>
        <w:b/>
        <w:bCs/>
      </w:rPr>
    </w:tblStylePr>
    <w:tblStylePr w:type="lastCol">
      <w:rPr>
        <w:b/>
        <w:bCs/>
      </w:rPr>
    </w:tblStylePr>
    <w:tblStylePr w:type="band1Vert">
      <w:tblPr/>
      <w:tcPr>
        <w:tcBorders>
          <w:top w:val="nil"/>
          <w:bottom w:val="single" w:sz="4" w:space="0" w:color="353D30" w:themeColor="text1"/>
        </w:tcBorders>
      </w:tcPr>
    </w:tblStylePr>
    <w:tblStylePr w:type="band1Horz">
      <w:tblPr/>
      <w:tcPr>
        <w:tcBorders>
          <w:top w:val="single" w:sz="4" w:space="0" w:color="353D30" w:themeColor="text1"/>
          <w:bottom w:val="single" w:sz="4" w:space="0" w:color="353D30" w:themeColor="text1"/>
        </w:tcBorders>
        <w:shd w:val="clear" w:color="auto" w:fill="C4E58E" w:themeFill="accent5"/>
      </w:tcPr>
    </w:tblStylePr>
    <w:tblStylePr w:type="band2Horz">
      <w:tblPr/>
      <w:tcPr>
        <w:tcBorders>
          <w:top w:val="nil"/>
          <w:bottom w:val="nil"/>
          <w:insideH w:val="nil"/>
          <w:insideV w:val="nil"/>
        </w:tcBorders>
      </w:tcPr>
    </w:tblStylePr>
  </w:style>
  <w:style w:type="table" w:customStyle="1" w:styleId="MediumShading2-Accent11">
    <w:name w:val="Medium Shading 2 - Accent 11"/>
    <w:basedOn w:val="TableNormal"/>
    <w:uiPriority w:val="64"/>
    <w:rsid w:val="00BC3104"/>
    <w:pPr>
      <w:spacing w:after="0" w:line="240" w:lineRule="auto"/>
    </w:p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7AB800" w:themeFill="accent1"/>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7AB800" w:themeFill="accent1"/>
      </w:tcPr>
    </w:tblStylePr>
    <w:tblStylePr w:type="lastCol">
      <w:rPr>
        <w:b/>
        <w:bCs/>
        <w:color w:val="FFFFFF" w:themeColor="background1"/>
      </w:rPr>
      <w:tblPr/>
      <w:tcPr>
        <w:tcBorders>
          <w:left w:val="nil"/>
          <w:right w:val="nil"/>
          <w:insideH w:val="nil"/>
          <w:insideV w:val="nil"/>
        </w:tcBorders>
        <w:shd w:val="clear" w:color="auto" w:fill="7AB8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nil"/>
          <w:left w:val="nil"/>
          <w:bottom w:val="nil"/>
          <w:right w:val="nil"/>
          <w:insideH w:val="nil"/>
          <w:insideV w:val="nil"/>
          <w:tl2br w:val="nil"/>
          <w:tr2bl w:val="nil"/>
        </w:tcBorders>
      </w:tcPr>
    </w:tblStylePr>
    <w:tblStylePr w:type="nwCell">
      <w:rPr>
        <w:color w:val="FFFFFF" w:themeColor="background1"/>
      </w:rPr>
      <w:tblPr/>
      <w:tcPr>
        <w:tcBorders>
          <w:top w:val="nil"/>
          <w:left w:val="nil"/>
          <w:bottom w:val="nil"/>
          <w:right w:val="nil"/>
          <w:insideH w:val="nil"/>
          <w:insideV w:val="nil"/>
          <w:tl2br w:val="nil"/>
          <w:tr2bl w:val="nil"/>
        </w:tcBorders>
      </w:tcPr>
    </w:tblStylePr>
  </w:style>
  <w:style w:type="table" w:customStyle="1" w:styleId="MediumList1-Accent11">
    <w:name w:val="Medium List 1 - Accent 11"/>
    <w:basedOn w:val="TableNormal"/>
    <w:uiPriority w:val="65"/>
    <w:rsid w:val="00BC3104"/>
    <w:pPr>
      <w:spacing w:after="0" w:line="240" w:lineRule="auto"/>
    </w:pPr>
    <w:rPr>
      <w:color w:val="353D30" w:themeColor="text1"/>
    </w:rPr>
    <w:tblPr>
      <w:tblStyleRowBandSize w:val="1"/>
      <w:tblStyleColBandSize w:val="1"/>
      <w:tblInd w:w="0" w:type="dxa"/>
      <w:tblBorders>
        <w:top w:val="single" w:sz="8" w:space="0" w:color="7AB800" w:themeColor="accent1"/>
        <w:bottom w:val="single" w:sz="8" w:space="0" w:color="7AB800"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B800" w:themeColor="accent1"/>
        </w:tcBorders>
      </w:tcPr>
    </w:tblStylePr>
    <w:tblStylePr w:type="lastRow">
      <w:rPr>
        <w:b/>
        <w:bCs/>
        <w:color w:val="009FDA" w:themeColor="text2"/>
      </w:rPr>
      <w:tblPr/>
      <w:tcPr>
        <w:tcBorders>
          <w:top w:val="single" w:sz="8" w:space="0" w:color="7AB800" w:themeColor="accent1"/>
          <w:bottom w:val="single" w:sz="8" w:space="0" w:color="7AB800" w:themeColor="accent1"/>
        </w:tcBorders>
      </w:tcPr>
    </w:tblStylePr>
    <w:tblStylePr w:type="firstCol">
      <w:rPr>
        <w:b/>
        <w:bCs/>
      </w:rPr>
    </w:tblStylePr>
    <w:tblStylePr w:type="lastCol">
      <w:rPr>
        <w:b/>
        <w:bCs/>
      </w:rPr>
      <w:tblPr/>
      <w:tcPr>
        <w:tcBorders>
          <w:top w:val="single" w:sz="8" w:space="0" w:color="7AB800" w:themeColor="accent1"/>
          <w:bottom w:val="single" w:sz="8" w:space="0" w:color="7AB800" w:themeColor="accent1"/>
        </w:tcBorders>
      </w:tcPr>
    </w:tblStylePr>
    <w:tblStylePr w:type="band1Vert">
      <w:tblPr/>
      <w:tcPr>
        <w:shd w:val="clear" w:color="auto" w:fill="DBEFBB" w:themeFill="accent5" w:themeFillTint="99"/>
      </w:tcPr>
    </w:tblStylePr>
    <w:tblStylePr w:type="band1Horz">
      <w:tblPr/>
      <w:tcPr>
        <w:shd w:val="clear" w:color="auto" w:fill="DBEFBB" w:themeFill="accent5" w:themeFillTint="99"/>
      </w:tcPr>
    </w:tblStylePr>
  </w:style>
  <w:style w:type="table" w:styleId="MediumList2-Accent1">
    <w:name w:val="Medium List 2 Accent 1"/>
    <w:basedOn w:val="TableNormal"/>
    <w:uiPriority w:val="66"/>
    <w:rsid w:val="00BC3104"/>
    <w:pPr>
      <w:spacing w:after="0" w:line="240" w:lineRule="auto"/>
    </w:pPr>
    <w:rPr>
      <w:rFonts w:asciiTheme="majorHAnsi" w:eastAsiaTheme="majorEastAsia" w:hAnsiTheme="majorHAnsi" w:cstheme="majorBidi"/>
      <w:color w:val="353D30" w:themeColor="text1"/>
    </w:r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tblBorders>
      <w:tblCellMar>
        <w:top w:w="0" w:type="dxa"/>
        <w:left w:w="108" w:type="dxa"/>
        <w:bottom w:w="0" w:type="dxa"/>
        <w:right w:w="108" w:type="dxa"/>
      </w:tblCellMar>
    </w:tblPr>
    <w:tblStylePr w:type="firstRow">
      <w:rPr>
        <w:sz w:val="24"/>
        <w:szCs w:val="24"/>
      </w:rPr>
      <w:tblPr/>
      <w:tcPr>
        <w:tcBorders>
          <w:top w:val="nil"/>
          <w:left w:val="nil"/>
          <w:bottom w:val="single" w:sz="18" w:space="0" w:color="7AB800" w:themeColor="accent1"/>
          <w:right w:val="nil"/>
          <w:insideH w:val="nil"/>
          <w:insideV w:val="nil"/>
        </w:tcBorders>
        <w:shd w:val="clear" w:color="auto" w:fill="FFFFFF" w:themeFill="background1"/>
      </w:tcPr>
    </w:tblStylePr>
    <w:tblStylePr w:type="lastRow">
      <w:tblPr/>
      <w:tcPr>
        <w:tcBorders>
          <w:top w:val="single" w:sz="8" w:space="0" w:color="7AB8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B800" w:themeColor="accent1"/>
          <w:insideH w:val="nil"/>
          <w:insideV w:val="nil"/>
        </w:tcBorders>
        <w:shd w:val="clear" w:color="auto" w:fill="FFFFFF" w:themeFill="background1"/>
      </w:tcPr>
    </w:tblStylePr>
    <w:tblStylePr w:type="lastCol">
      <w:tblPr/>
      <w:tcPr>
        <w:tcBorders>
          <w:top w:val="nil"/>
          <w:left w:val="single" w:sz="8" w:space="0" w:color="7AB800" w:themeColor="accent1"/>
          <w:bottom w:val="nil"/>
          <w:right w:val="nil"/>
          <w:insideH w:val="nil"/>
          <w:insideV w:val="nil"/>
        </w:tcBorders>
        <w:shd w:val="clear" w:color="auto" w:fill="FFFFFF" w:themeFill="background1"/>
      </w:tcPr>
    </w:tblStylePr>
    <w:tblStylePr w:type="band1Vert">
      <w:tblPr/>
      <w:tcPr>
        <w:shd w:val="clear" w:color="auto" w:fill="C4E58E" w:themeFill="accent5"/>
      </w:tcPr>
    </w:tblStylePr>
    <w:tblStylePr w:type="band1Horz">
      <w:tblPr/>
      <w:tcPr>
        <w:shd w:val="clear" w:color="auto" w:fill="C4E58E" w:themeFill="accent5"/>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BC3104"/>
    <w:pPr>
      <w:spacing w:after="0" w:line="240" w:lineRule="auto"/>
    </w:pPr>
    <w:tblPr>
      <w:tblStyleRowBandSize w:val="1"/>
      <w:tblStyleColBandSize w:val="1"/>
      <w:tblInd w:w="0" w:type="dxa"/>
      <w:tblBorders>
        <w:top w:val="single" w:sz="2" w:space="0" w:color="7AB800" w:themeColor="accent1"/>
        <w:left w:val="single" w:sz="2" w:space="0" w:color="7AB800" w:themeColor="accent1"/>
        <w:bottom w:val="single" w:sz="2" w:space="0" w:color="7AB800" w:themeColor="accent1"/>
        <w:right w:val="single" w:sz="2" w:space="0" w:color="7AB800" w:themeColor="accent1"/>
        <w:insideH w:val="single" w:sz="2" w:space="0" w:color="7AB800" w:themeColor="accent1"/>
        <w:insideV w:val="single" w:sz="2" w:space="0" w:color="7AB800" w:themeColor="accent1"/>
      </w:tblBorders>
      <w:tblCellMar>
        <w:top w:w="0" w:type="dxa"/>
        <w:left w:w="108" w:type="dxa"/>
        <w:bottom w:w="0" w:type="dxa"/>
        <w:right w:w="108" w:type="dxa"/>
      </w:tblCellMar>
    </w:tblPr>
    <w:tcPr>
      <w:shd w:val="clear" w:color="auto" w:fill="C4E58E" w:themeFill="accent5"/>
    </w:tcPr>
    <w:tblStylePr w:type="firstRow">
      <w:rPr>
        <w:b/>
        <w:bCs/>
      </w:rPr>
    </w:tblStylePr>
    <w:tblStylePr w:type="lastRow">
      <w:rPr>
        <w:b/>
        <w:bCs/>
      </w:rPr>
      <w:tblPr/>
      <w:tcPr>
        <w:tcBorders>
          <w:top w:val="single" w:sz="18" w:space="0" w:color="ACFF0A" w:themeColor="accent1" w:themeTint="BF"/>
        </w:tcBorders>
      </w:tcPr>
    </w:tblStylePr>
    <w:tblStylePr w:type="firstCol">
      <w:rPr>
        <w:b/>
        <w:bCs/>
      </w:rPr>
    </w:tblStylePr>
    <w:tblStylePr w:type="lastCol">
      <w:rPr>
        <w:b/>
        <w:bCs/>
      </w:rPr>
    </w:tblStylePr>
    <w:tblStylePr w:type="band1Vert">
      <w:tblPr/>
      <w:tcPr>
        <w:shd w:val="clear" w:color="auto" w:fill="C4E58E" w:themeFill="accent5"/>
      </w:tcPr>
    </w:tblStylePr>
    <w:tblStylePr w:type="band1Horz">
      <w:tblPr/>
      <w:tcPr>
        <w:shd w:val="clear" w:color="auto" w:fill="E7F4D1" w:themeFill="accent5" w:themeFillTint="66"/>
      </w:tcPr>
    </w:tblStylePr>
  </w:style>
  <w:style w:type="table" w:styleId="MediumGrid2-Accent1">
    <w:name w:val="Medium Grid 2 Accent 1"/>
    <w:basedOn w:val="TableNormal"/>
    <w:uiPriority w:val="68"/>
    <w:rsid w:val="005B57DB"/>
    <w:pPr>
      <w:spacing w:after="0" w:line="240" w:lineRule="auto"/>
    </w:pPr>
    <w:rPr>
      <w:rFonts w:asciiTheme="majorHAnsi" w:eastAsiaTheme="majorEastAsia" w:hAnsiTheme="majorHAnsi" w:cstheme="majorBidi"/>
      <w:color w:val="353D30" w:themeColor="text1"/>
    </w:rPr>
    <w:tblPr>
      <w:tblStyleRowBandSize w:val="1"/>
      <w:tblStyleColBandSize w:val="1"/>
      <w:tblInd w:w="0" w:type="dxa"/>
      <w:tblBorders>
        <w:top w:val="single" w:sz="8" w:space="0" w:color="7AB800" w:themeColor="accent1"/>
        <w:left w:val="single" w:sz="8" w:space="0" w:color="7AB800" w:themeColor="accent1"/>
        <w:bottom w:val="single" w:sz="8" w:space="0" w:color="7AB800" w:themeColor="accent1"/>
        <w:right w:val="single" w:sz="8" w:space="0" w:color="7AB800" w:themeColor="accent1"/>
        <w:insideH w:val="single" w:sz="8" w:space="0" w:color="7AB800" w:themeColor="accent1"/>
        <w:insideV w:val="single" w:sz="8" w:space="0" w:color="7AB800" w:themeColor="accent1"/>
      </w:tblBorders>
      <w:tblCellMar>
        <w:top w:w="0" w:type="dxa"/>
        <w:left w:w="108" w:type="dxa"/>
        <w:bottom w:w="0" w:type="dxa"/>
        <w:right w:w="108" w:type="dxa"/>
      </w:tblCellMar>
    </w:tblPr>
    <w:tcPr>
      <w:shd w:val="clear" w:color="auto" w:fill="FFFFFF" w:themeFill="background1"/>
      <w:vAlign w:val="center"/>
    </w:tcPr>
    <w:tblStylePr w:type="firstRow">
      <w:rPr>
        <w:b/>
        <w:bCs/>
        <w:color w:val="353D30" w:themeColor="text1"/>
      </w:rPr>
      <w:tblPr/>
      <w:tcPr>
        <w:shd w:val="clear" w:color="auto" w:fill="E7F4D1" w:themeFill="accent5" w:themeFillTint="66"/>
      </w:tcPr>
    </w:tblStylePr>
    <w:tblStylePr w:type="lastRow">
      <w:rPr>
        <w:b/>
        <w:bCs/>
        <w:color w:val="353D30" w:themeColor="text1"/>
      </w:rPr>
      <w:tblPr/>
      <w:tcPr>
        <w:tcBorders>
          <w:top w:val="single" w:sz="12" w:space="0" w:color="353D30" w:themeColor="text1"/>
          <w:left w:val="nil"/>
          <w:bottom w:val="nil"/>
          <w:right w:val="nil"/>
          <w:insideH w:val="nil"/>
          <w:insideV w:val="nil"/>
        </w:tcBorders>
        <w:shd w:val="clear" w:color="auto" w:fill="FFFFFF" w:themeFill="background1"/>
      </w:tcPr>
    </w:tblStylePr>
    <w:tblStylePr w:type="firstCol">
      <w:rPr>
        <w:b/>
        <w:bCs/>
        <w:color w:val="353D3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53D30" w:themeColor="text1"/>
      </w:rPr>
      <w:tblPr/>
      <w:tcPr>
        <w:shd w:val="clear" w:color="auto" w:fill="E7F4D1" w:themeFill="accent5" w:themeFillTint="66"/>
      </w:tcPr>
    </w:tblStylePr>
    <w:tblStylePr w:type="band1Vert">
      <w:tblPr/>
      <w:tcPr>
        <w:shd w:val="clear" w:color="auto" w:fill="C4E58E" w:themeFill="accent5"/>
      </w:tcPr>
    </w:tblStylePr>
    <w:tblStylePr w:type="band1Horz">
      <w:tblPr/>
      <w:tcPr>
        <w:shd w:val="clear" w:color="auto" w:fill="C4E58E" w:themeFill="accent5"/>
      </w:tcPr>
    </w:tblStylePr>
    <w:tblStylePr w:type="nwCell">
      <w:tblPr/>
      <w:tcPr>
        <w:shd w:val="clear" w:color="auto" w:fill="FFFFFF" w:themeFill="background1"/>
      </w:tcPr>
    </w:tblStylePr>
  </w:style>
  <w:style w:type="table" w:styleId="MediumGrid3-Accent1">
    <w:name w:val="Medium Grid 3 Accent 1"/>
    <w:basedOn w:val="TableNormal"/>
    <w:uiPriority w:val="69"/>
    <w:rsid w:val="005B57DB"/>
    <w:pPr>
      <w:spacing w:before="40" w:after="4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FFAE" w:themeFill="accent1" w:themeFillTint="3F"/>
      <w:vAlign w:val="center"/>
    </w:tcPr>
    <w:tblStylePr w:type="firstRow">
      <w:pPr>
        <w:jc w:val="left"/>
      </w:pPr>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B800" w:themeFill="accent1"/>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B8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B8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B800" w:themeFill="accent1"/>
      </w:tcPr>
    </w:tblStylePr>
    <w:tblStylePr w:type="band1Vert">
      <w:tblPr/>
      <w:tcPr>
        <w:shd w:val="clear" w:color="auto" w:fill="A2D64E"/>
      </w:tcPr>
    </w:tblStylePr>
    <w:tblStylePr w:type="band2Vert">
      <w:tblPr/>
      <w:tcPr>
        <w:shd w:val="clear" w:color="auto" w:fill="C4E58E" w:themeFill="accent5"/>
      </w:tcPr>
    </w:tblStylePr>
    <w:tblStylePr w:type="band1Horz">
      <w:tblPr/>
      <w:tcPr>
        <w:shd w:val="clear" w:color="auto" w:fill="C4E58E" w:themeFill="accent5"/>
      </w:tcPr>
    </w:tblStylePr>
  </w:style>
  <w:style w:type="table" w:styleId="ColorfulGrid-Accent1">
    <w:name w:val="Colorful Grid Accent 1"/>
    <w:basedOn w:val="TableNormal"/>
    <w:uiPriority w:val="73"/>
    <w:rsid w:val="00FE6C0A"/>
    <w:pPr>
      <w:spacing w:after="0" w:line="240" w:lineRule="auto"/>
    </w:pPr>
    <w:rPr>
      <w:color w:val="353D30" w:themeColor="text1"/>
    </w:rPr>
    <w:tblPr>
      <w:tblStyleRowBandSize w:val="1"/>
      <w:tblStyleColBandSize w:val="1"/>
      <w:tblInd w:w="0"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0" w:type="dxa"/>
        <w:left w:w="108" w:type="dxa"/>
        <w:bottom w:w="0" w:type="dxa"/>
        <w:right w:w="108" w:type="dxa"/>
      </w:tblCellMar>
    </w:tblPr>
    <w:tcPr>
      <w:shd w:val="clear" w:color="auto" w:fill="FFFFFF" w:themeFill="background1"/>
      <w:vAlign w:val="center"/>
    </w:tc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color w:val="353D30" w:themeColor="text1"/>
      </w:rPr>
      <w:tblPr/>
      <w:tcPr>
        <w:shd w:val="clear" w:color="auto" w:fill="D2FF7C" w:themeFill="accent1" w:themeFillTint="66"/>
      </w:tcPr>
    </w:tblStylePr>
    <w:tblStylePr w:type="firstCol">
      <w:rPr>
        <w:color w:val="7AB800" w:themeColor="accent1"/>
      </w:rPr>
      <w:tblPr/>
      <w:tcPr>
        <w:shd w:val="clear" w:color="auto" w:fill="7AB800" w:themeFill="accent1"/>
      </w:tcPr>
    </w:tblStylePr>
    <w:tblStylePr w:type="lastCol">
      <w:rPr>
        <w:color w:val="FFFFFF" w:themeColor="background1"/>
      </w:rPr>
      <w:tblPr/>
      <w:tcPr>
        <w:shd w:val="clear" w:color="auto" w:fill="7AB800" w:themeFill="accent1"/>
      </w:tcPr>
    </w:tblStylePr>
    <w:tblStylePr w:type="band1Vert">
      <w:tblPr/>
      <w:tcPr>
        <w:shd w:val="clear" w:color="auto" w:fill="C4E58E" w:themeFill="accent5"/>
      </w:tcPr>
    </w:tblStylePr>
    <w:tblStylePr w:type="band2Vert">
      <w:tblPr/>
      <w:tcPr>
        <w:shd w:val="clear" w:color="auto" w:fill="C4E58E" w:themeFill="accent5"/>
      </w:tcPr>
    </w:tblStylePr>
    <w:tblStylePr w:type="band1Horz">
      <w:tblPr/>
      <w:tcPr>
        <w:shd w:val="clear" w:color="auto" w:fill="C4E58E" w:themeFill="accent5"/>
      </w:tcPr>
    </w:tblStylePr>
    <w:tblStylePr w:type="band2Horz">
      <w:tblPr/>
      <w:tcPr>
        <w:shd w:val="clear" w:color="auto" w:fill="C4E58E" w:themeFill="accent5"/>
      </w:tcPr>
    </w:tblStylePr>
  </w:style>
  <w:style w:type="table" w:styleId="ColorfulList-Accent1">
    <w:name w:val="Colorful List Accent 1"/>
    <w:basedOn w:val="TableNormal"/>
    <w:uiPriority w:val="72"/>
    <w:rsid w:val="00FE6C0A"/>
    <w:pPr>
      <w:spacing w:after="0" w:line="240" w:lineRule="auto"/>
    </w:pPr>
    <w:rPr>
      <w:color w:val="353D30" w:themeColor="text1"/>
    </w:rPr>
    <w:tblPr>
      <w:tblStyleRowBandSize w:val="1"/>
      <w:tblStyleColBandSize w:val="1"/>
      <w:tblInd w:w="0" w:type="dxa"/>
      <w:tblCellMar>
        <w:top w:w="0" w:type="dxa"/>
        <w:left w:w="108" w:type="dxa"/>
        <w:bottom w:w="0" w:type="dxa"/>
        <w:right w:w="108" w:type="dxa"/>
      </w:tblCellMar>
    </w:tblPr>
    <w:tcPr>
      <w:shd w:val="clear" w:color="auto" w:fill="F4FFDF" w:themeFill="accent1" w:themeFillTint="19"/>
      <w:vAlign w:val="center"/>
    </w:tcPr>
    <w:tblStylePr w:type="firstRow">
      <w:rPr>
        <w:b/>
        <w:bCs/>
        <w:color w:val="FFFFFF" w:themeColor="background1"/>
      </w:rPr>
      <w:tblPr/>
      <w:tcPr>
        <w:shd w:val="clear" w:color="auto" w:fill="7AB800" w:themeFill="accent1"/>
      </w:tcPr>
    </w:tblStylePr>
    <w:tblStylePr w:type="lastRow">
      <w:rPr>
        <w:b/>
        <w:bCs/>
        <w:color w:val="2A3026" w:themeColor="accent2" w:themeShade="CC"/>
      </w:rPr>
      <w:tblPr/>
      <w:tcPr>
        <w:tcBorders>
          <w:top w:val="single" w:sz="12" w:space="0" w:color="353D3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AE" w:themeFill="accent1" w:themeFillTint="3F"/>
      </w:tcPr>
    </w:tblStylePr>
    <w:tblStylePr w:type="band1Horz">
      <w:tblPr/>
      <w:tcPr>
        <w:shd w:val="clear" w:color="auto" w:fill="C4E58E" w:themeFill="accent5"/>
      </w:tcPr>
    </w:tblStylePr>
    <w:tblStylePr w:type="band2Horz">
      <w:tblPr/>
      <w:tcPr>
        <w:shd w:val="clear" w:color="auto" w:fill="F3F9E8" w:themeFill="accent5" w:themeFillTint="33"/>
      </w:tcPr>
    </w:tblStylePr>
  </w:style>
  <w:style w:type="table" w:styleId="ColorfulShading-Accent1">
    <w:name w:val="Colorful Shading Accent 1"/>
    <w:basedOn w:val="TableNormal"/>
    <w:uiPriority w:val="71"/>
    <w:rsid w:val="00FE6C0A"/>
    <w:pPr>
      <w:spacing w:after="0" w:line="240" w:lineRule="auto"/>
    </w:pPr>
    <w:rPr>
      <w:color w:val="353D30" w:themeColor="text1"/>
    </w:rPr>
    <w:tblPr>
      <w:tblStyleRowBandSize w:val="1"/>
      <w:tblStyleColBandSize w:val="1"/>
      <w:tblInd w:w="0" w:type="dxa"/>
      <w:tblBorders>
        <w:bottom w:val="single" w:sz="12" w:space="0" w:color="353D30" w:themeColor="accent2"/>
      </w:tblBorders>
      <w:tblCellMar>
        <w:top w:w="0" w:type="dxa"/>
        <w:left w:w="108" w:type="dxa"/>
        <w:bottom w:w="0" w:type="dxa"/>
        <w:right w:w="108" w:type="dxa"/>
      </w:tblCellMar>
    </w:tblPr>
    <w:tcPr>
      <w:shd w:val="clear" w:color="auto" w:fill="F4FFDF" w:themeFill="accent1" w:themeFillTint="19"/>
      <w:vAlign w:val="center"/>
    </w:tcPr>
    <w:tblStylePr w:type="firstRow">
      <w:pPr>
        <w:jc w:val="left"/>
      </w:pPr>
      <w:rPr>
        <w:b/>
        <w:bCs/>
      </w:rPr>
      <w:tblPr/>
      <w:tcPr>
        <w:tcBorders>
          <w:top w:val="nil"/>
          <w:left w:val="nil"/>
          <w:bottom w:val="single" w:sz="12" w:space="0" w:color="353D30" w:themeColor="accent2"/>
          <w:right w:val="nil"/>
          <w:insideH w:val="nil"/>
          <w:insideV w:val="nil"/>
        </w:tcBorders>
        <w:shd w:val="clear" w:color="auto" w:fill="FFFFFF" w:themeFill="background1"/>
        <w:vAlign w:val="center"/>
      </w:tcPr>
    </w:tblStylePr>
    <w:tblStylePr w:type="lastRow">
      <w:rPr>
        <w:b/>
        <w:bCs/>
        <w:color w:val="FFFFFF" w:themeColor="background1"/>
      </w:rPr>
      <w:tblPr/>
      <w:tcPr>
        <w:tcBorders>
          <w:top w:val="single" w:sz="6" w:space="0" w:color="FFFFFF" w:themeColor="background1"/>
        </w:tcBorders>
        <w:shd w:val="clear" w:color="auto" w:fill="496E00" w:themeFill="accent1" w:themeFillShade="99"/>
      </w:tcPr>
    </w:tblStylePr>
    <w:tblStylePr w:type="firstCol">
      <w:rPr>
        <w:color w:val="FFFFFF" w:themeColor="background1"/>
      </w:rPr>
      <w:tblPr/>
      <w:tcPr>
        <w:tcBorders>
          <w:top w:val="nil"/>
          <w:left w:val="nil"/>
          <w:bottom w:val="nil"/>
          <w:right w:val="nil"/>
          <w:insideH w:val="single" w:sz="4" w:space="0" w:color="496E00" w:themeColor="accent1" w:themeShade="99"/>
          <w:insideV w:val="nil"/>
        </w:tcBorders>
        <w:shd w:val="clear" w:color="auto" w:fill="496E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96E00" w:themeFill="accent1" w:themeFillShade="99"/>
      </w:tcPr>
    </w:tblStylePr>
    <w:tblStylePr w:type="band1Vert">
      <w:tblPr/>
      <w:tcPr>
        <w:shd w:val="clear" w:color="auto" w:fill="C4E58E" w:themeFill="accent5"/>
      </w:tcPr>
    </w:tblStylePr>
    <w:tblStylePr w:type="band2Vert">
      <w:tblPr/>
      <w:tcPr>
        <w:shd w:val="clear" w:color="auto" w:fill="A2D64E"/>
      </w:tcPr>
    </w:tblStylePr>
    <w:tblStylePr w:type="band1Horz">
      <w:tblPr/>
      <w:tcPr>
        <w:shd w:val="clear" w:color="auto" w:fill="C4E58E" w:themeFill="accent5"/>
      </w:tcPr>
    </w:tblStylePr>
    <w:tblStylePr w:type="band2Horz">
      <w:tblPr/>
      <w:tcPr>
        <w:shd w:val="clear" w:color="auto" w:fill="A2D64E"/>
      </w:tcPr>
    </w:tblStylePr>
    <w:tblStylePr w:type="neCell">
      <w:rPr>
        <w:color w:val="353D30" w:themeColor="text1"/>
      </w:rPr>
    </w:tblStylePr>
    <w:tblStylePr w:type="nwCell">
      <w:rPr>
        <w:color w:val="353D30" w:themeColor="text1"/>
      </w:rPr>
    </w:tblStylePr>
  </w:style>
  <w:style w:type="table" w:styleId="DarkList-Accent1">
    <w:name w:val="Dark List Accent 1"/>
    <w:basedOn w:val="TableNormal"/>
    <w:uiPriority w:val="70"/>
    <w:rsid w:val="007170D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B8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53D30" w:themeFill="text1"/>
      </w:tcPr>
    </w:tblStylePr>
    <w:tblStylePr w:type="lastRow">
      <w:tblPr/>
      <w:tcPr>
        <w:tcBorders>
          <w:top w:val="single" w:sz="18" w:space="0" w:color="FFFFFF" w:themeColor="background1"/>
          <w:left w:val="nil"/>
          <w:bottom w:val="nil"/>
          <w:right w:val="nil"/>
          <w:insideH w:val="nil"/>
          <w:insideV w:val="nil"/>
        </w:tcBorders>
        <w:shd w:val="clear" w:color="auto" w:fill="3C5B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B89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B8900" w:themeFill="accent1" w:themeFillShade="BF"/>
      </w:tcPr>
    </w:tblStylePr>
    <w:tblStylePr w:type="band1Vert">
      <w:tblPr/>
      <w:tcPr>
        <w:tcBorders>
          <w:top w:val="nil"/>
          <w:left w:val="nil"/>
          <w:bottom w:val="nil"/>
          <w:right w:val="nil"/>
          <w:insideH w:val="nil"/>
          <w:insideV w:val="nil"/>
        </w:tcBorders>
        <w:shd w:val="clear" w:color="auto" w:fill="5B8900" w:themeFill="accent1" w:themeFillShade="BF"/>
      </w:tcPr>
    </w:tblStylePr>
    <w:tblStylePr w:type="band1Horz">
      <w:tblPr/>
      <w:tcPr>
        <w:tcBorders>
          <w:top w:val="nil"/>
          <w:left w:val="nil"/>
          <w:bottom w:val="nil"/>
          <w:right w:val="nil"/>
          <w:insideH w:val="nil"/>
          <w:insideV w:val="nil"/>
        </w:tcBorders>
        <w:shd w:val="clear" w:color="auto" w:fill="5B8900" w:themeFill="accent1" w:themeFillShade="BF"/>
      </w:tcPr>
    </w:tblStylePr>
  </w:style>
  <w:style w:type="paragraph" w:styleId="TOC5">
    <w:name w:val="toc 5"/>
    <w:basedOn w:val="Normal"/>
    <w:next w:val="Normal"/>
    <w:autoRedefine/>
    <w:uiPriority w:val="39"/>
    <w:rsid w:val="004453A6"/>
    <w:pPr>
      <w:spacing w:after="100"/>
      <w:ind w:left="800"/>
    </w:pPr>
  </w:style>
  <w:style w:type="paragraph" w:styleId="TOC6">
    <w:name w:val="toc 6"/>
    <w:basedOn w:val="Normal"/>
    <w:next w:val="Normal"/>
    <w:autoRedefine/>
    <w:uiPriority w:val="39"/>
    <w:rsid w:val="004453A6"/>
    <w:pPr>
      <w:spacing w:after="100"/>
      <w:ind w:left="1000"/>
    </w:pPr>
  </w:style>
  <w:style w:type="paragraph" w:styleId="TOC7">
    <w:name w:val="toc 7"/>
    <w:basedOn w:val="Normal"/>
    <w:next w:val="Normal"/>
    <w:autoRedefine/>
    <w:uiPriority w:val="39"/>
    <w:rsid w:val="004453A6"/>
    <w:pPr>
      <w:spacing w:after="100"/>
      <w:ind w:left="1200"/>
    </w:pPr>
  </w:style>
  <w:style w:type="paragraph" w:styleId="TOC8">
    <w:name w:val="toc 8"/>
    <w:basedOn w:val="Normal"/>
    <w:next w:val="Normal"/>
    <w:autoRedefine/>
    <w:uiPriority w:val="39"/>
    <w:rsid w:val="004453A6"/>
    <w:pPr>
      <w:spacing w:after="100"/>
      <w:ind w:left="1400"/>
    </w:pPr>
  </w:style>
  <w:style w:type="character" w:styleId="FollowedHyperlink">
    <w:name w:val="FollowedHyperlink"/>
    <w:basedOn w:val="DefaultParagraphFont"/>
    <w:uiPriority w:val="99"/>
    <w:semiHidden/>
    <w:unhideWhenUsed/>
    <w:rsid w:val="00A27E33"/>
    <w:rPr>
      <w:color w:val="auto"/>
      <w:u w:val="single"/>
    </w:rPr>
  </w:style>
  <w:style w:type="paragraph" w:customStyle="1" w:styleId="AppendixTitle">
    <w:name w:val="Appendix Title"/>
    <w:basedOn w:val="PartHeading"/>
    <w:next w:val="NormalIndent"/>
    <w:qFormat/>
    <w:rsid w:val="00AD7D9E"/>
  </w:style>
  <w:style w:type="paragraph" w:styleId="NormalIndent">
    <w:name w:val="Normal Indent"/>
    <w:basedOn w:val="Normal"/>
    <w:uiPriority w:val="99"/>
    <w:semiHidden/>
    <w:rsid w:val="00AD7D9E"/>
    <w:pPr>
      <w:ind w:left="720"/>
    </w:pPr>
  </w:style>
  <w:style w:type="character" w:styleId="CommentReference">
    <w:name w:val="annotation reference"/>
    <w:basedOn w:val="DefaultParagraphFont"/>
    <w:uiPriority w:val="99"/>
    <w:semiHidden/>
    <w:unhideWhenUsed/>
    <w:rsid w:val="00D04C9D"/>
    <w:rPr>
      <w:sz w:val="16"/>
      <w:szCs w:val="16"/>
    </w:rPr>
  </w:style>
  <w:style w:type="paragraph" w:styleId="CommentText">
    <w:name w:val="annotation text"/>
    <w:basedOn w:val="Normal"/>
    <w:link w:val="CommentTextChar"/>
    <w:uiPriority w:val="99"/>
    <w:unhideWhenUsed/>
    <w:rsid w:val="00D04C9D"/>
    <w:pPr>
      <w:spacing w:after="0" w:line="240" w:lineRule="auto"/>
    </w:pPr>
    <w:rPr>
      <w:rFonts w:asciiTheme="minorHAnsi" w:eastAsiaTheme="minorEastAsia" w:hAnsiTheme="minorHAnsi" w:cstheme="minorBidi"/>
      <w:color w:val="353D30" w:themeColor="text1"/>
      <w:lang w:val="en-US"/>
    </w:rPr>
  </w:style>
  <w:style w:type="character" w:customStyle="1" w:styleId="CommentTextChar">
    <w:name w:val="Comment Text Char"/>
    <w:basedOn w:val="DefaultParagraphFont"/>
    <w:link w:val="CommentText"/>
    <w:uiPriority w:val="99"/>
    <w:rsid w:val="00D04C9D"/>
    <w:rPr>
      <w:rFonts w:eastAsiaTheme="minorEastAsia"/>
      <w:color w:val="353D30" w:themeColor="text1"/>
      <w:sz w:val="20"/>
      <w:szCs w:val="20"/>
    </w:rPr>
  </w:style>
  <w:style w:type="paragraph" w:styleId="CommentSubject">
    <w:name w:val="annotation subject"/>
    <w:basedOn w:val="CommentText"/>
    <w:next w:val="CommentText"/>
    <w:link w:val="CommentSubjectChar"/>
    <w:uiPriority w:val="99"/>
    <w:semiHidden/>
    <w:rsid w:val="005C6358"/>
    <w:pPr>
      <w:spacing w:after="142"/>
    </w:pPr>
    <w:rPr>
      <w:rFonts w:ascii="Arial" w:eastAsiaTheme="minorHAnsi" w:hAnsi="Arial" w:cs="Arial"/>
      <w:b/>
      <w:bCs/>
      <w:color w:val="auto"/>
      <w:lang w:val="en-AU"/>
    </w:rPr>
  </w:style>
  <w:style w:type="character" w:customStyle="1" w:styleId="CommentSubjectChar">
    <w:name w:val="Comment Subject Char"/>
    <w:basedOn w:val="CommentTextChar"/>
    <w:link w:val="CommentSubject"/>
    <w:uiPriority w:val="99"/>
    <w:semiHidden/>
    <w:rsid w:val="005C6358"/>
    <w:rPr>
      <w:rFonts w:ascii="Arial" w:eastAsiaTheme="minorEastAsia" w:hAnsi="Arial" w:cs="Arial"/>
      <w:b/>
      <w:bCs/>
      <w:color w:val="353D30" w:themeColor="text1"/>
      <w:sz w:val="20"/>
      <w:szCs w:val="20"/>
      <w:lang w:val="en-AU"/>
    </w:rPr>
  </w:style>
  <w:style w:type="table" w:styleId="LightShading-Accent3">
    <w:name w:val="Light Shading Accent 3"/>
    <w:basedOn w:val="TableNormal"/>
    <w:uiPriority w:val="60"/>
    <w:rsid w:val="006F71EC"/>
    <w:pPr>
      <w:spacing w:after="0" w:line="240" w:lineRule="auto"/>
    </w:pPr>
    <w:rPr>
      <w:color w:val="8A9285" w:themeColor="accent3" w:themeShade="BF"/>
      <w:lang w:val="en-GB"/>
    </w:rPr>
    <w:tblPr>
      <w:tblStyleRowBandSize w:val="1"/>
      <w:tblStyleColBandSize w:val="1"/>
      <w:tblInd w:w="0" w:type="dxa"/>
      <w:tblBorders>
        <w:top w:val="single" w:sz="8" w:space="0" w:color="BABFB7" w:themeColor="accent3"/>
        <w:bottom w:val="single" w:sz="8" w:space="0" w:color="BABFB7"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ABFB7" w:themeColor="accent3"/>
          <w:left w:val="nil"/>
          <w:bottom w:val="single" w:sz="8" w:space="0" w:color="BABFB7" w:themeColor="accent3"/>
          <w:right w:val="nil"/>
          <w:insideH w:val="nil"/>
          <w:insideV w:val="nil"/>
        </w:tcBorders>
      </w:tcPr>
    </w:tblStylePr>
    <w:tblStylePr w:type="lastRow">
      <w:pPr>
        <w:spacing w:before="0" w:after="0" w:line="240" w:lineRule="auto"/>
      </w:pPr>
      <w:rPr>
        <w:b/>
        <w:bCs/>
      </w:rPr>
      <w:tblPr/>
      <w:tcPr>
        <w:tcBorders>
          <w:top w:val="single" w:sz="8" w:space="0" w:color="BABFB7" w:themeColor="accent3"/>
          <w:left w:val="nil"/>
          <w:bottom w:val="single" w:sz="8" w:space="0" w:color="BABFB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FED" w:themeFill="accent3" w:themeFillTint="3F"/>
      </w:tcPr>
    </w:tblStylePr>
    <w:tblStylePr w:type="band1Horz">
      <w:tblPr/>
      <w:tcPr>
        <w:tcBorders>
          <w:left w:val="nil"/>
          <w:right w:val="nil"/>
          <w:insideH w:val="nil"/>
          <w:insideV w:val="nil"/>
        </w:tcBorders>
        <w:shd w:val="clear" w:color="auto" w:fill="EDEFED" w:themeFill="accent3" w:themeFillTint="3F"/>
      </w:tcPr>
    </w:tblStylePr>
  </w:style>
  <w:style w:type="character" w:styleId="PageNumber">
    <w:name w:val="page number"/>
    <w:basedOn w:val="DefaultParagraphFont"/>
    <w:uiPriority w:val="99"/>
    <w:semiHidden/>
    <w:unhideWhenUsed/>
    <w:rsid w:val="001C6D76"/>
  </w:style>
  <w:style w:type="paragraph" w:styleId="NormalWeb">
    <w:name w:val="Normal (Web)"/>
    <w:basedOn w:val="Normal"/>
    <w:uiPriority w:val="99"/>
    <w:semiHidden/>
    <w:unhideWhenUsed/>
    <w:rsid w:val="00383D43"/>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apple-style-span">
    <w:name w:val="apple-style-span"/>
    <w:basedOn w:val="DefaultParagraphFont"/>
    <w:rsid w:val="009A1FDA"/>
  </w:style>
  <w:style w:type="table" w:customStyle="1" w:styleId="Style21">
    <w:name w:val="Style21"/>
    <w:basedOn w:val="LightShading-Accent4"/>
    <w:uiPriority w:val="99"/>
    <w:qFormat/>
    <w:rsid w:val="009A1FDA"/>
    <w:pPr>
      <w:spacing w:before="30" w:after="30"/>
    </w:pPr>
    <w:rPr>
      <w:rFonts w:ascii="Arial" w:hAnsi="Arial"/>
      <w:color w:val="7AB800" w:themeColor="accent1"/>
      <w:sz w:val="18"/>
      <w:szCs w:val="20"/>
      <w:lang w:val="en-AU" w:eastAsia="en-AU"/>
    </w:rPr>
    <w:tblPr>
      <w:tblStyleRowBandSize w:val="1"/>
      <w:tblStyleColBandSize w:val="1"/>
      <w:tblInd w:w="0" w:type="dxa"/>
      <w:tblBorders>
        <w:top w:val="single" w:sz="8" w:space="0" w:color="EFF0EF" w:themeColor="accent4"/>
        <w:bottom w:val="single" w:sz="4" w:space="0" w:color="7AB8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4" w:space="0" w:color="7AB800" w:themeColor="accent1"/>
          <w:left w:val="nil"/>
          <w:bottom w:val="single" w:sz="4" w:space="0" w:color="7AB800" w:themeColor="accent1"/>
          <w:right w:val="nil"/>
          <w:insideH w:val="nil"/>
          <w:insideV w:val="nil"/>
        </w:tcBorders>
      </w:tcPr>
    </w:tblStylePr>
    <w:tblStylePr w:type="lastRow">
      <w:pPr>
        <w:spacing w:before="0" w:after="0" w:line="240" w:lineRule="auto"/>
      </w:pPr>
      <w:rPr>
        <w:b/>
        <w:bCs/>
      </w:rPr>
      <w:tblPr/>
      <w:tcPr>
        <w:tcBorders>
          <w:top w:val="single" w:sz="4" w:space="0" w:color="7AB800" w:themeColor="accent1"/>
          <w:left w:val="nil"/>
          <w:bottom w:val="single" w:sz="4" w:space="0" w:color="7AB800" w:themeColor="accen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4" w:themeFillTint="3F"/>
      </w:tcPr>
    </w:tblStylePr>
    <w:tblStylePr w:type="band1Horz">
      <w:tblPr/>
      <w:tcPr>
        <w:tcBorders>
          <w:left w:val="nil"/>
          <w:right w:val="nil"/>
          <w:insideH w:val="nil"/>
          <w:insideV w:val="nil"/>
        </w:tcBorders>
        <w:shd w:val="clear" w:color="auto" w:fill="FBFBFB" w:themeFill="accent4" w:themeFillTint="3F"/>
      </w:tcPr>
    </w:tblStylePr>
    <w:tblStylePr w:type="band2Horz">
      <w:tblPr/>
      <w:tcPr>
        <w:shd w:val="clear" w:color="auto" w:fill="C4E58E"/>
      </w:tcPr>
    </w:tblStylePr>
  </w:style>
  <w:style w:type="paragraph" w:customStyle="1" w:styleId="Source">
    <w:name w:val="Source"/>
    <w:basedOn w:val="Normal"/>
    <w:qFormat/>
    <w:rsid w:val="00BA72D5"/>
    <w:rPr>
      <w:i/>
      <w:sz w:val="16"/>
      <w:szCs w:val="18"/>
    </w:rPr>
  </w:style>
  <w:style w:type="character" w:customStyle="1" w:styleId="Bullet1Char">
    <w:name w:val="Bullet 1 Char"/>
    <w:link w:val="Bullet1"/>
    <w:locked/>
    <w:rsid w:val="00B233CC"/>
    <w:rPr>
      <w:rFonts w:ascii="Arial" w:hAnsi="Arial" w:cs="Arial"/>
      <w:sz w:val="20"/>
      <w:szCs w:val="20"/>
      <w:lang w:val="en-GB"/>
    </w:rPr>
  </w:style>
  <w:style w:type="paragraph" w:customStyle="1" w:styleId="default">
    <w:name w:val="default"/>
    <w:basedOn w:val="Normal"/>
    <w:rsid w:val="00A8340E"/>
    <w:pPr>
      <w:spacing w:after="0" w:line="240" w:lineRule="auto"/>
    </w:pPr>
    <w:rPr>
      <w:rFonts w:ascii="Times New Roman" w:hAnsi="Times New Roman" w:cs="Times New Roman"/>
      <w:sz w:val="24"/>
      <w:szCs w:val="24"/>
      <w:lang w:eastAsia="en-AU"/>
    </w:rPr>
  </w:style>
  <w:style w:type="paragraph" w:styleId="BodyText">
    <w:name w:val="Body Text"/>
    <w:basedOn w:val="Normal"/>
    <w:link w:val="BodyTextChar"/>
    <w:qFormat/>
    <w:rsid w:val="00204661"/>
  </w:style>
  <w:style w:type="character" w:customStyle="1" w:styleId="BodyTextChar">
    <w:name w:val="Body Text Char"/>
    <w:basedOn w:val="DefaultParagraphFont"/>
    <w:link w:val="BodyText"/>
    <w:rsid w:val="00204661"/>
    <w:rPr>
      <w:rFonts w:ascii="Arial" w:hAnsi="Arial" w:cs="Arial"/>
      <w:sz w:val="20"/>
      <w:szCs w:val="20"/>
      <w:lang w:val="en-AU"/>
    </w:rPr>
  </w:style>
  <w:style w:type="paragraph" w:styleId="FootnoteText">
    <w:name w:val="footnote text"/>
    <w:basedOn w:val="Normal"/>
    <w:link w:val="FootnoteTextChar"/>
    <w:uiPriority w:val="99"/>
    <w:semiHidden/>
    <w:rsid w:val="00706642"/>
    <w:pPr>
      <w:spacing w:after="0" w:line="240" w:lineRule="auto"/>
    </w:pPr>
  </w:style>
  <w:style w:type="character" w:customStyle="1" w:styleId="FootnoteTextChar">
    <w:name w:val="Footnote Text Char"/>
    <w:basedOn w:val="DefaultParagraphFont"/>
    <w:link w:val="FootnoteText"/>
    <w:uiPriority w:val="99"/>
    <w:semiHidden/>
    <w:rsid w:val="00706642"/>
    <w:rPr>
      <w:rFonts w:ascii="Arial" w:hAnsi="Arial" w:cs="Arial"/>
      <w:sz w:val="20"/>
      <w:szCs w:val="20"/>
      <w:lang w:val="en-AU"/>
    </w:rPr>
  </w:style>
  <w:style w:type="character" w:styleId="FootnoteReference">
    <w:name w:val="footnote reference"/>
    <w:basedOn w:val="DefaultParagraphFont"/>
    <w:uiPriority w:val="99"/>
    <w:semiHidden/>
    <w:rsid w:val="00706642"/>
    <w:rPr>
      <w:vertAlign w:val="superscript"/>
    </w:rPr>
  </w:style>
  <w:style w:type="paragraph" w:styleId="Revision">
    <w:name w:val="Revision"/>
    <w:hidden/>
    <w:uiPriority w:val="99"/>
    <w:semiHidden/>
    <w:rsid w:val="00184159"/>
    <w:pPr>
      <w:spacing w:after="0" w:line="240" w:lineRule="auto"/>
    </w:pPr>
    <w:rPr>
      <w:rFonts w:ascii="Arial" w:hAnsi="Arial" w:cs="Arial"/>
      <w:sz w:val="20"/>
      <w:szCs w:val="20"/>
      <w:lang w:val="en-AU"/>
    </w:rPr>
  </w:style>
  <w:style w:type="character" w:customStyle="1" w:styleId="Heading2Char1">
    <w:name w:val="Heading 2 Char1"/>
    <w:basedOn w:val="DefaultParagraphFont"/>
    <w:link w:val="Heading2"/>
    <w:uiPriority w:val="9"/>
    <w:rsid w:val="009245AE"/>
    <w:rPr>
      <w:rFonts w:asciiTheme="majorHAnsi" w:eastAsiaTheme="majorEastAsia" w:hAnsiTheme="majorHAnsi" w:cstheme="majorBidi"/>
      <w:b/>
      <w:bCs/>
      <w:color w:val="353D30" w:themeColor="text1"/>
      <w:sz w:val="36"/>
      <w:szCs w:val="26"/>
      <w:lang w:val="en-GB"/>
    </w:rPr>
  </w:style>
  <w:style w:type="paragraph" w:customStyle="1" w:styleId="ColumnHeading">
    <w:name w:val="ColumnHeading"/>
    <w:basedOn w:val="Normal"/>
    <w:rsid w:val="0069640F"/>
    <w:pPr>
      <w:spacing w:before="60" w:after="60" w:line="240" w:lineRule="auto"/>
    </w:pPr>
    <w:rPr>
      <w:b/>
      <w:bCs/>
      <w:color w:val="002D62"/>
      <w:lang w:eastAsia="en-GB"/>
    </w:rPr>
  </w:style>
  <w:style w:type="paragraph" w:customStyle="1" w:styleId="AppendixHeading1">
    <w:name w:val="Appendix Heading 1"/>
    <w:next w:val="Normal"/>
    <w:qFormat/>
    <w:rsid w:val="004841C2"/>
    <w:pPr>
      <w:pageBreakBefore/>
    </w:pPr>
    <w:rPr>
      <w:rFonts w:ascii="Arial" w:hAnsi="Arial"/>
      <w:b/>
      <w:color w:val="7AB800" w:themeColor="accent1"/>
      <w:sz w:val="48"/>
      <w:lang w:val="en-AU"/>
    </w:rPr>
  </w:style>
  <w:style w:type="paragraph" w:customStyle="1" w:styleId="xl63">
    <w:name w:val="xl63"/>
    <w:basedOn w:val="Normal"/>
    <w:rsid w:val="004538EA"/>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lang w:eastAsia="en-GB"/>
    </w:rPr>
  </w:style>
  <w:style w:type="paragraph" w:customStyle="1" w:styleId="xl64">
    <w:name w:val="xl64"/>
    <w:basedOn w:val="Normal"/>
    <w:rsid w:val="004538EA"/>
    <w:pPr>
      <w:pBdr>
        <w:top w:val="single" w:sz="8" w:space="0" w:color="auto"/>
        <w:bottom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lang w:eastAsia="en-GB"/>
    </w:rPr>
  </w:style>
  <w:style w:type="paragraph" w:customStyle="1" w:styleId="xl65">
    <w:name w:val="xl65"/>
    <w:basedOn w:val="Normal"/>
    <w:rsid w:val="004538EA"/>
    <w:pPr>
      <w:pBdr>
        <w:top w:val="single" w:sz="8" w:space="0" w:color="auto"/>
        <w:bottom w:val="single" w:sz="8" w:space="0" w:color="auto"/>
        <w:right w:val="single" w:sz="8"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lang w:eastAsia="en-GB"/>
    </w:rPr>
  </w:style>
  <w:style w:type="paragraph" w:customStyle="1" w:styleId="xl66">
    <w:name w:val="xl66"/>
    <w:basedOn w:val="Normal"/>
    <w:rsid w:val="004538E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en-GB"/>
    </w:rPr>
  </w:style>
  <w:style w:type="paragraph" w:customStyle="1" w:styleId="xl67">
    <w:name w:val="xl67"/>
    <w:basedOn w:val="Normal"/>
    <w:rsid w:val="004538E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68">
    <w:name w:val="xl68"/>
    <w:basedOn w:val="Normal"/>
    <w:rsid w:val="004538E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lang w:eastAsia="en-GB"/>
    </w:rPr>
  </w:style>
  <w:style w:type="paragraph" w:customStyle="1" w:styleId="xl69">
    <w:name w:val="xl69"/>
    <w:basedOn w:val="Normal"/>
    <w:rsid w:val="004538E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lang w:eastAsia="en-GB"/>
    </w:rPr>
  </w:style>
  <w:style w:type="paragraph" w:customStyle="1" w:styleId="xl70">
    <w:name w:val="xl70"/>
    <w:basedOn w:val="Normal"/>
    <w:rsid w:val="004538E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lang w:eastAsia="en-GB"/>
    </w:rPr>
  </w:style>
  <w:style w:type="paragraph" w:customStyle="1" w:styleId="Tables">
    <w:name w:val="Tables"/>
    <w:basedOn w:val="Normal"/>
    <w:link w:val="TablesChar"/>
    <w:qFormat/>
    <w:rsid w:val="00C15878"/>
    <w:pPr>
      <w:spacing w:before="60" w:after="60" w:line="240" w:lineRule="auto"/>
    </w:pPr>
  </w:style>
  <w:style w:type="character" w:customStyle="1" w:styleId="TablesChar">
    <w:name w:val="Tables Char"/>
    <w:basedOn w:val="DefaultParagraphFont"/>
    <w:link w:val="Tables"/>
    <w:rsid w:val="00C15878"/>
    <w:rPr>
      <w:rFonts w:ascii="Arial" w:hAnsi="Arial" w:cs="Arial"/>
      <w:sz w:val="20"/>
      <w:szCs w:val="20"/>
      <w:lang w:val="en-GB"/>
    </w:rPr>
  </w:style>
  <w:style w:type="table" w:styleId="LightGrid-Accent5">
    <w:name w:val="Light Grid Accent 5"/>
    <w:basedOn w:val="TableNormal"/>
    <w:uiPriority w:val="62"/>
    <w:rsid w:val="0077606F"/>
    <w:pPr>
      <w:spacing w:after="0" w:line="240" w:lineRule="auto"/>
    </w:pPr>
    <w:tblPr>
      <w:tblStyleRowBandSize w:val="1"/>
      <w:tblStyleColBandSize w:val="1"/>
      <w:tblInd w:w="0" w:type="dxa"/>
      <w:tblBorders>
        <w:top w:val="single" w:sz="8" w:space="0" w:color="C4E58E" w:themeColor="accent5"/>
        <w:left w:val="single" w:sz="8" w:space="0" w:color="C4E58E" w:themeColor="accent5"/>
        <w:bottom w:val="single" w:sz="8" w:space="0" w:color="C4E58E" w:themeColor="accent5"/>
        <w:right w:val="single" w:sz="8" w:space="0" w:color="C4E58E" w:themeColor="accent5"/>
        <w:insideH w:val="single" w:sz="8" w:space="0" w:color="C4E58E" w:themeColor="accent5"/>
        <w:insideV w:val="single" w:sz="8" w:space="0" w:color="C4E58E"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4E58E" w:themeColor="accent5"/>
          <w:left w:val="single" w:sz="8" w:space="0" w:color="C4E58E" w:themeColor="accent5"/>
          <w:bottom w:val="single" w:sz="18" w:space="0" w:color="C4E58E" w:themeColor="accent5"/>
          <w:right w:val="single" w:sz="8" w:space="0" w:color="C4E58E" w:themeColor="accent5"/>
          <w:insideH w:val="nil"/>
          <w:insideV w:val="single" w:sz="8" w:space="0" w:color="C4E58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E58E" w:themeColor="accent5"/>
          <w:left w:val="single" w:sz="8" w:space="0" w:color="C4E58E" w:themeColor="accent5"/>
          <w:bottom w:val="single" w:sz="8" w:space="0" w:color="C4E58E" w:themeColor="accent5"/>
          <w:right w:val="single" w:sz="8" w:space="0" w:color="C4E58E" w:themeColor="accent5"/>
          <w:insideH w:val="nil"/>
          <w:insideV w:val="single" w:sz="8" w:space="0" w:color="C4E58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E58E" w:themeColor="accent5"/>
          <w:left w:val="single" w:sz="8" w:space="0" w:color="C4E58E" w:themeColor="accent5"/>
          <w:bottom w:val="single" w:sz="8" w:space="0" w:color="C4E58E" w:themeColor="accent5"/>
          <w:right w:val="single" w:sz="8" w:space="0" w:color="C4E58E" w:themeColor="accent5"/>
        </w:tcBorders>
      </w:tcPr>
    </w:tblStylePr>
    <w:tblStylePr w:type="band1Vert">
      <w:tblPr/>
      <w:tcPr>
        <w:tcBorders>
          <w:top w:val="single" w:sz="8" w:space="0" w:color="C4E58E" w:themeColor="accent5"/>
          <w:left w:val="single" w:sz="8" w:space="0" w:color="C4E58E" w:themeColor="accent5"/>
          <w:bottom w:val="single" w:sz="8" w:space="0" w:color="C4E58E" w:themeColor="accent5"/>
          <w:right w:val="single" w:sz="8" w:space="0" w:color="C4E58E" w:themeColor="accent5"/>
        </w:tcBorders>
        <w:shd w:val="clear" w:color="auto" w:fill="F0F8E2" w:themeFill="accent5" w:themeFillTint="3F"/>
      </w:tcPr>
    </w:tblStylePr>
    <w:tblStylePr w:type="band1Horz">
      <w:tblPr/>
      <w:tcPr>
        <w:tcBorders>
          <w:top w:val="single" w:sz="8" w:space="0" w:color="C4E58E" w:themeColor="accent5"/>
          <w:left w:val="single" w:sz="8" w:space="0" w:color="C4E58E" w:themeColor="accent5"/>
          <w:bottom w:val="single" w:sz="8" w:space="0" w:color="C4E58E" w:themeColor="accent5"/>
          <w:right w:val="single" w:sz="8" w:space="0" w:color="C4E58E" w:themeColor="accent5"/>
          <w:insideV w:val="single" w:sz="8" w:space="0" w:color="C4E58E" w:themeColor="accent5"/>
        </w:tcBorders>
        <w:shd w:val="clear" w:color="auto" w:fill="F0F8E2" w:themeFill="accent5" w:themeFillTint="3F"/>
      </w:tcPr>
    </w:tblStylePr>
    <w:tblStylePr w:type="band2Horz">
      <w:tblPr/>
      <w:tcPr>
        <w:tcBorders>
          <w:top w:val="single" w:sz="8" w:space="0" w:color="C4E58E" w:themeColor="accent5"/>
          <w:left w:val="single" w:sz="8" w:space="0" w:color="C4E58E" w:themeColor="accent5"/>
          <w:bottom w:val="single" w:sz="8" w:space="0" w:color="C4E58E" w:themeColor="accent5"/>
          <w:right w:val="single" w:sz="8" w:space="0" w:color="C4E58E" w:themeColor="accent5"/>
          <w:insideV w:val="single" w:sz="8" w:space="0" w:color="C4E58E" w:themeColor="accent5"/>
        </w:tcBorders>
      </w:tcPr>
    </w:tblStylePr>
  </w:style>
  <w:style w:type="paragraph" w:customStyle="1" w:styleId="AppendixHeading">
    <w:name w:val="Appendix Heading"/>
    <w:basedOn w:val="Title"/>
    <w:link w:val="AppendixHeadingChar"/>
    <w:rsid w:val="00A76712"/>
    <w:pPr>
      <w:spacing w:after="0"/>
    </w:pPr>
    <w:rPr>
      <w:bCs/>
      <w:lang w:val="en-AU"/>
    </w:rPr>
  </w:style>
  <w:style w:type="character" w:customStyle="1" w:styleId="AppendixHeadingChar">
    <w:name w:val="Appendix Heading Char"/>
    <w:basedOn w:val="ChapterHeadingChar"/>
    <w:link w:val="AppendixHeading"/>
    <w:rsid w:val="00A76712"/>
    <w:rPr>
      <w:rFonts w:ascii="Arial" w:eastAsiaTheme="majorEastAsia" w:hAnsi="Arial" w:cstheme="majorBidi"/>
      <w:b/>
      <w:bCs/>
      <w:color w:val="7AB800" w:themeColor="accent1"/>
      <w:spacing w:val="5"/>
      <w:kern w:val="28"/>
      <w:sz w:val="70"/>
      <w:szCs w:val="52"/>
      <w:lang w:val="en-AU"/>
    </w:rPr>
  </w:style>
  <w:style w:type="paragraph" w:styleId="ListBullet">
    <w:name w:val="List Bullet"/>
    <w:basedOn w:val="Normal"/>
    <w:semiHidden/>
    <w:rsid w:val="00A76712"/>
    <w:pPr>
      <w:numPr>
        <w:numId w:val="10"/>
      </w:numPr>
      <w:tabs>
        <w:tab w:val="left" w:pos="1418"/>
        <w:tab w:val="left" w:pos="2126"/>
        <w:tab w:val="left" w:pos="2835"/>
      </w:tabs>
      <w:overflowPunct w:val="0"/>
      <w:autoSpaceDE w:val="0"/>
      <w:autoSpaceDN w:val="0"/>
      <w:adjustRightInd w:val="0"/>
      <w:spacing w:after="0" w:line="360" w:lineRule="auto"/>
      <w:textAlignment w:val="baseline"/>
    </w:pPr>
    <w:rPr>
      <w:rFonts w:eastAsia="Times New Roman"/>
      <w:color w:val="000000"/>
    </w:rPr>
  </w:style>
  <w:style w:type="numbering" w:customStyle="1" w:styleId="Style4">
    <w:name w:val="Style4"/>
    <w:uiPriority w:val="99"/>
    <w:rsid w:val="00E922D7"/>
    <w:pPr>
      <w:numPr>
        <w:numId w:val="11"/>
      </w:numPr>
    </w:pPr>
  </w:style>
  <w:style w:type="table" w:customStyle="1" w:styleId="Style31">
    <w:name w:val="Style 31"/>
    <w:basedOn w:val="TableNormal"/>
    <w:uiPriority w:val="99"/>
    <w:qFormat/>
    <w:rsid w:val="001824C5"/>
    <w:pPr>
      <w:spacing w:before="30" w:after="30" w:line="240" w:lineRule="auto"/>
    </w:pPr>
    <w:rPr>
      <w:rFonts w:ascii="Arial" w:hAnsi="Arial"/>
      <w:sz w:val="18"/>
      <w:lang w:val="en-AU"/>
    </w:rPr>
    <w:tblPr>
      <w:tblStyleRowBandSize w:val="1"/>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b/>
        <w:sz w:val="18"/>
      </w:rPr>
      <w:tblPr/>
      <w:tcPr>
        <w:shd w:val="clear" w:color="auto" w:fill="353D30" w:themeFill="accent2"/>
      </w:tcPr>
    </w:tblStylePr>
    <w:tblStylePr w:type="firstCol">
      <w:tblPr/>
      <w:tcPr>
        <w:shd w:val="clear" w:color="auto" w:fill="353D30" w:themeFill="accent2"/>
      </w:tcPr>
    </w:tblStylePr>
    <w:tblStylePr w:type="band2Horz">
      <w:tblPr/>
      <w:tcPr>
        <w:shd w:val="clear" w:color="auto" w:fill="C4E58E"/>
      </w:tcPr>
    </w:tblStylePr>
  </w:style>
  <w:style w:type="paragraph" w:styleId="EndnoteText">
    <w:name w:val="endnote text"/>
    <w:basedOn w:val="Normal"/>
    <w:link w:val="EndnoteTextChar"/>
    <w:uiPriority w:val="99"/>
    <w:semiHidden/>
    <w:rsid w:val="001643D4"/>
    <w:pPr>
      <w:spacing w:after="0" w:line="240" w:lineRule="auto"/>
    </w:pPr>
  </w:style>
  <w:style w:type="character" w:customStyle="1" w:styleId="EndnoteTextChar">
    <w:name w:val="Endnote Text Char"/>
    <w:basedOn w:val="DefaultParagraphFont"/>
    <w:link w:val="EndnoteText"/>
    <w:uiPriority w:val="99"/>
    <w:semiHidden/>
    <w:rsid w:val="001643D4"/>
    <w:rPr>
      <w:rFonts w:ascii="Arial" w:hAnsi="Arial" w:cs="Arial"/>
      <w:sz w:val="20"/>
      <w:szCs w:val="20"/>
      <w:lang w:val="en-GB"/>
    </w:rPr>
  </w:style>
  <w:style w:type="character" w:styleId="EndnoteReference">
    <w:name w:val="endnote reference"/>
    <w:basedOn w:val="DefaultParagraphFont"/>
    <w:uiPriority w:val="99"/>
    <w:semiHidden/>
    <w:rsid w:val="001643D4"/>
    <w:rPr>
      <w:vertAlign w:val="superscript"/>
    </w:rPr>
  </w:style>
  <w:style w:type="character" w:styleId="BookTitle">
    <w:name w:val="Book Title"/>
    <w:uiPriority w:val="33"/>
    <w:qFormat/>
    <w:rsid w:val="00B11E42"/>
    <w:rPr>
      <w:rFonts w:ascii="Arial" w:hAnsi="Arial"/>
      <w:b/>
      <w:bCs/>
      <w:caps w:val="0"/>
      <w:smallCaps/>
      <w:color w:val="283138"/>
      <w:spacing w:val="10"/>
      <w:sz w:val="22"/>
    </w:rPr>
  </w:style>
  <w:style w:type="table" w:customStyle="1" w:styleId="Style12">
    <w:name w:val="Style12"/>
    <w:basedOn w:val="TableNormal"/>
    <w:uiPriority w:val="99"/>
    <w:qFormat/>
    <w:rsid w:val="003B0274"/>
    <w:pPr>
      <w:spacing w:after="0" w:line="240" w:lineRule="auto"/>
      <w:jc w:val="center"/>
    </w:pPr>
    <w:rPr>
      <w:rFonts w:ascii="Arial" w:hAnsi="Arial"/>
      <w:sz w:val="18"/>
      <w:lang w:val="en-AU"/>
    </w:rPr>
    <w:tblPr>
      <w:tblStyleRowBandSize w:val="1"/>
      <w:tblStyleColBandSize w:val="1"/>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rPr>
      <w:jc w:val="center"/>
    </w:trPr>
    <w:tcPr>
      <w:shd w:val="clear" w:color="auto" w:fill="F1F9E5"/>
      <w:vAlign w:val="center"/>
    </w:tcPr>
    <w:tblStylePr w:type="firstRow">
      <w:pPr>
        <w:wordWrap/>
        <w:spacing w:beforeLines="60" w:beforeAutospacing="0" w:afterLines="60" w:afterAutospacing="0"/>
        <w:jc w:val="center"/>
      </w:pPr>
      <w:rPr>
        <w:rFonts w:ascii="Arial" w:hAnsi="Arial"/>
        <w:b/>
        <w:sz w:val="18"/>
      </w:rPr>
      <w:tblPr/>
      <w:tcPr>
        <w:shd w:val="clear" w:color="auto" w:fill="C4E58E"/>
      </w:tcPr>
    </w:tblStylePr>
    <w:tblStylePr w:type="firstCol">
      <w:pPr>
        <w:wordWrap/>
        <w:spacing w:beforeLines="0" w:before="0" w:beforeAutospacing="0" w:afterLines="0" w:after="0" w:afterAutospacing="0" w:line="240" w:lineRule="auto"/>
        <w:jc w:val="left"/>
      </w:pPr>
    </w:tblStylePr>
    <w:tblStylePr w:type="band1Vert">
      <w:tblPr/>
      <w:tcPr>
        <w:shd w:val="clear" w:color="auto" w:fill="FFFFFF" w:themeFill="background1"/>
      </w:tcPr>
    </w:tblStylePr>
    <w:tblStylePr w:type="band1Horz">
      <w:pPr>
        <w:wordWrap/>
        <w:spacing w:beforeLines="0" w:before="0" w:beforeAutospacing="0" w:afterLines="0" w:after="0" w:afterAutospacing="0" w:line="240" w:lineRule="auto"/>
        <w:jc w:val="left"/>
      </w:pPr>
      <w:tblPr/>
      <w:tcPr>
        <w:shd w:val="clear" w:color="auto" w:fill="FFFFFF" w:themeFill="background1"/>
      </w:tcPr>
    </w:tblStylePr>
    <w:tblStylePr w:type="band2Horz">
      <w:pPr>
        <w:wordWrap/>
        <w:spacing w:beforeLines="0" w:before="0" w:beforeAutospacing="0" w:afterLines="0" w:after="0" w:afterAutospacing="0" w:line="240" w:lineRule="auto"/>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562">
      <w:bodyDiv w:val="1"/>
      <w:marLeft w:val="0"/>
      <w:marRight w:val="0"/>
      <w:marTop w:val="0"/>
      <w:marBottom w:val="0"/>
      <w:divBdr>
        <w:top w:val="none" w:sz="0" w:space="0" w:color="auto"/>
        <w:left w:val="none" w:sz="0" w:space="0" w:color="auto"/>
        <w:bottom w:val="none" w:sz="0" w:space="0" w:color="auto"/>
        <w:right w:val="none" w:sz="0" w:space="0" w:color="auto"/>
      </w:divBdr>
    </w:div>
    <w:div w:id="33236577">
      <w:bodyDiv w:val="1"/>
      <w:marLeft w:val="0"/>
      <w:marRight w:val="0"/>
      <w:marTop w:val="0"/>
      <w:marBottom w:val="0"/>
      <w:divBdr>
        <w:top w:val="none" w:sz="0" w:space="0" w:color="auto"/>
        <w:left w:val="none" w:sz="0" w:space="0" w:color="auto"/>
        <w:bottom w:val="none" w:sz="0" w:space="0" w:color="auto"/>
        <w:right w:val="none" w:sz="0" w:space="0" w:color="auto"/>
      </w:divBdr>
    </w:div>
    <w:div w:id="50345101">
      <w:bodyDiv w:val="1"/>
      <w:marLeft w:val="0"/>
      <w:marRight w:val="0"/>
      <w:marTop w:val="0"/>
      <w:marBottom w:val="0"/>
      <w:divBdr>
        <w:top w:val="none" w:sz="0" w:space="0" w:color="auto"/>
        <w:left w:val="none" w:sz="0" w:space="0" w:color="auto"/>
        <w:bottom w:val="none" w:sz="0" w:space="0" w:color="auto"/>
        <w:right w:val="none" w:sz="0" w:space="0" w:color="auto"/>
      </w:divBdr>
    </w:div>
    <w:div w:id="53086254">
      <w:bodyDiv w:val="1"/>
      <w:marLeft w:val="0"/>
      <w:marRight w:val="0"/>
      <w:marTop w:val="0"/>
      <w:marBottom w:val="0"/>
      <w:divBdr>
        <w:top w:val="none" w:sz="0" w:space="0" w:color="auto"/>
        <w:left w:val="none" w:sz="0" w:space="0" w:color="auto"/>
        <w:bottom w:val="none" w:sz="0" w:space="0" w:color="auto"/>
        <w:right w:val="none" w:sz="0" w:space="0" w:color="auto"/>
      </w:divBdr>
    </w:div>
    <w:div w:id="128017227">
      <w:bodyDiv w:val="1"/>
      <w:marLeft w:val="0"/>
      <w:marRight w:val="0"/>
      <w:marTop w:val="0"/>
      <w:marBottom w:val="0"/>
      <w:divBdr>
        <w:top w:val="none" w:sz="0" w:space="0" w:color="auto"/>
        <w:left w:val="none" w:sz="0" w:space="0" w:color="auto"/>
        <w:bottom w:val="none" w:sz="0" w:space="0" w:color="auto"/>
        <w:right w:val="none" w:sz="0" w:space="0" w:color="auto"/>
      </w:divBdr>
    </w:div>
    <w:div w:id="169834099">
      <w:bodyDiv w:val="1"/>
      <w:marLeft w:val="0"/>
      <w:marRight w:val="0"/>
      <w:marTop w:val="0"/>
      <w:marBottom w:val="0"/>
      <w:divBdr>
        <w:top w:val="none" w:sz="0" w:space="0" w:color="auto"/>
        <w:left w:val="none" w:sz="0" w:space="0" w:color="auto"/>
        <w:bottom w:val="none" w:sz="0" w:space="0" w:color="auto"/>
        <w:right w:val="none" w:sz="0" w:space="0" w:color="auto"/>
      </w:divBdr>
    </w:div>
    <w:div w:id="228200573">
      <w:bodyDiv w:val="1"/>
      <w:marLeft w:val="0"/>
      <w:marRight w:val="0"/>
      <w:marTop w:val="0"/>
      <w:marBottom w:val="0"/>
      <w:divBdr>
        <w:top w:val="none" w:sz="0" w:space="0" w:color="auto"/>
        <w:left w:val="none" w:sz="0" w:space="0" w:color="auto"/>
        <w:bottom w:val="none" w:sz="0" w:space="0" w:color="auto"/>
        <w:right w:val="none" w:sz="0" w:space="0" w:color="auto"/>
      </w:divBdr>
    </w:div>
    <w:div w:id="272171874">
      <w:bodyDiv w:val="1"/>
      <w:marLeft w:val="0"/>
      <w:marRight w:val="0"/>
      <w:marTop w:val="0"/>
      <w:marBottom w:val="0"/>
      <w:divBdr>
        <w:top w:val="none" w:sz="0" w:space="0" w:color="auto"/>
        <w:left w:val="none" w:sz="0" w:space="0" w:color="auto"/>
        <w:bottom w:val="none" w:sz="0" w:space="0" w:color="auto"/>
        <w:right w:val="none" w:sz="0" w:space="0" w:color="auto"/>
      </w:divBdr>
    </w:div>
    <w:div w:id="316493541">
      <w:bodyDiv w:val="1"/>
      <w:marLeft w:val="0"/>
      <w:marRight w:val="0"/>
      <w:marTop w:val="0"/>
      <w:marBottom w:val="0"/>
      <w:divBdr>
        <w:top w:val="none" w:sz="0" w:space="0" w:color="auto"/>
        <w:left w:val="none" w:sz="0" w:space="0" w:color="auto"/>
        <w:bottom w:val="none" w:sz="0" w:space="0" w:color="auto"/>
        <w:right w:val="none" w:sz="0" w:space="0" w:color="auto"/>
      </w:divBdr>
    </w:div>
    <w:div w:id="372462102">
      <w:bodyDiv w:val="1"/>
      <w:marLeft w:val="0"/>
      <w:marRight w:val="0"/>
      <w:marTop w:val="0"/>
      <w:marBottom w:val="0"/>
      <w:divBdr>
        <w:top w:val="none" w:sz="0" w:space="0" w:color="auto"/>
        <w:left w:val="none" w:sz="0" w:space="0" w:color="auto"/>
        <w:bottom w:val="none" w:sz="0" w:space="0" w:color="auto"/>
        <w:right w:val="none" w:sz="0" w:space="0" w:color="auto"/>
      </w:divBdr>
    </w:div>
    <w:div w:id="463693592">
      <w:bodyDiv w:val="1"/>
      <w:marLeft w:val="0"/>
      <w:marRight w:val="0"/>
      <w:marTop w:val="0"/>
      <w:marBottom w:val="0"/>
      <w:divBdr>
        <w:top w:val="none" w:sz="0" w:space="0" w:color="auto"/>
        <w:left w:val="none" w:sz="0" w:space="0" w:color="auto"/>
        <w:bottom w:val="none" w:sz="0" w:space="0" w:color="auto"/>
        <w:right w:val="none" w:sz="0" w:space="0" w:color="auto"/>
      </w:divBdr>
    </w:div>
    <w:div w:id="550384822">
      <w:bodyDiv w:val="1"/>
      <w:marLeft w:val="0"/>
      <w:marRight w:val="0"/>
      <w:marTop w:val="0"/>
      <w:marBottom w:val="0"/>
      <w:divBdr>
        <w:top w:val="none" w:sz="0" w:space="0" w:color="auto"/>
        <w:left w:val="none" w:sz="0" w:space="0" w:color="auto"/>
        <w:bottom w:val="none" w:sz="0" w:space="0" w:color="auto"/>
        <w:right w:val="none" w:sz="0" w:space="0" w:color="auto"/>
      </w:divBdr>
    </w:div>
    <w:div w:id="593824860">
      <w:bodyDiv w:val="1"/>
      <w:marLeft w:val="0"/>
      <w:marRight w:val="0"/>
      <w:marTop w:val="0"/>
      <w:marBottom w:val="0"/>
      <w:divBdr>
        <w:top w:val="none" w:sz="0" w:space="0" w:color="auto"/>
        <w:left w:val="none" w:sz="0" w:space="0" w:color="auto"/>
        <w:bottom w:val="none" w:sz="0" w:space="0" w:color="auto"/>
        <w:right w:val="none" w:sz="0" w:space="0" w:color="auto"/>
      </w:divBdr>
    </w:div>
    <w:div w:id="643580505">
      <w:bodyDiv w:val="1"/>
      <w:marLeft w:val="0"/>
      <w:marRight w:val="0"/>
      <w:marTop w:val="0"/>
      <w:marBottom w:val="0"/>
      <w:divBdr>
        <w:top w:val="none" w:sz="0" w:space="0" w:color="auto"/>
        <w:left w:val="none" w:sz="0" w:space="0" w:color="auto"/>
        <w:bottom w:val="none" w:sz="0" w:space="0" w:color="auto"/>
        <w:right w:val="none" w:sz="0" w:space="0" w:color="auto"/>
      </w:divBdr>
    </w:div>
    <w:div w:id="794522903">
      <w:bodyDiv w:val="1"/>
      <w:marLeft w:val="0"/>
      <w:marRight w:val="0"/>
      <w:marTop w:val="0"/>
      <w:marBottom w:val="0"/>
      <w:divBdr>
        <w:top w:val="none" w:sz="0" w:space="0" w:color="auto"/>
        <w:left w:val="none" w:sz="0" w:space="0" w:color="auto"/>
        <w:bottom w:val="none" w:sz="0" w:space="0" w:color="auto"/>
        <w:right w:val="none" w:sz="0" w:space="0" w:color="auto"/>
      </w:divBdr>
    </w:div>
    <w:div w:id="882207087">
      <w:bodyDiv w:val="1"/>
      <w:marLeft w:val="0"/>
      <w:marRight w:val="0"/>
      <w:marTop w:val="0"/>
      <w:marBottom w:val="0"/>
      <w:divBdr>
        <w:top w:val="none" w:sz="0" w:space="0" w:color="auto"/>
        <w:left w:val="none" w:sz="0" w:space="0" w:color="auto"/>
        <w:bottom w:val="none" w:sz="0" w:space="0" w:color="auto"/>
        <w:right w:val="none" w:sz="0" w:space="0" w:color="auto"/>
      </w:divBdr>
      <w:divsChild>
        <w:div w:id="807630877">
          <w:marLeft w:val="446"/>
          <w:marRight w:val="0"/>
          <w:marTop w:val="0"/>
          <w:marBottom w:val="120"/>
          <w:divBdr>
            <w:top w:val="none" w:sz="0" w:space="0" w:color="auto"/>
            <w:left w:val="none" w:sz="0" w:space="0" w:color="auto"/>
            <w:bottom w:val="none" w:sz="0" w:space="0" w:color="auto"/>
            <w:right w:val="none" w:sz="0" w:space="0" w:color="auto"/>
          </w:divBdr>
        </w:div>
        <w:div w:id="2049332760">
          <w:marLeft w:val="446"/>
          <w:marRight w:val="0"/>
          <w:marTop w:val="0"/>
          <w:marBottom w:val="120"/>
          <w:divBdr>
            <w:top w:val="none" w:sz="0" w:space="0" w:color="auto"/>
            <w:left w:val="none" w:sz="0" w:space="0" w:color="auto"/>
            <w:bottom w:val="none" w:sz="0" w:space="0" w:color="auto"/>
            <w:right w:val="none" w:sz="0" w:space="0" w:color="auto"/>
          </w:divBdr>
        </w:div>
        <w:div w:id="902720111">
          <w:marLeft w:val="446"/>
          <w:marRight w:val="0"/>
          <w:marTop w:val="0"/>
          <w:marBottom w:val="120"/>
          <w:divBdr>
            <w:top w:val="none" w:sz="0" w:space="0" w:color="auto"/>
            <w:left w:val="none" w:sz="0" w:space="0" w:color="auto"/>
            <w:bottom w:val="none" w:sz="0" w:space="0" w:color="auto"/>
            <w:right w:val="none" w:sz="0" w:space="0" w:color="auto"/>
          </w:divBdr>
        </w:div>
        <w:div w:id="465318742">
          <w:marLeft w:val="446"/>
          <w:marRight w:val="0"/>
          <w:marTop w:val="0"/>
          <w:marBottom w:val="120"/>
          <w:divBdr>
            <w:top w:val="none" w:sz="0" w:space="0" w:color="auto"/>
            <w:left w:val="none" w:sz="0" w:space="0" w:color="auto"/>
            <w:bottom w:val="none" w:sz="0" w:space="0" w:color="auto"/>
            <w:right w:val="none" w:sz="0" w:space="0" w:color="auto"/>
          </w:divBdr>
        </w:div>
        <w:div w:id="313991501">
          <w:marLeft w:val="446"/>
          <w:marRight w:val="0"/>
          <w:marTop w:val="0"/>
          <w:marBottom w:val="120"/>
          <w:divBdr>
            <w:top w:val="none" w:sz="0" w:space="0" w:color="auto"/>
            <w:left w:val="none" w:sz="0" w:space="0" w:color="auto"/>
            <w:bottom w:val="none" w:sz="0" w:space="0" w:color="auto"/>
            <w:right w:val="none" w:sz="0" w:space="0" w:color="auto"/>
          </w:divBdr>
        </w:div>
        <w:div w:id="780954479">
          <w:marLeft w:val="446"/>
          <w:marRight w:val="0"/>
          <w:marTop w:val="0"/>
          <w:marBottom w:val="120"/>
          <w:divBdr>
            <w:top w:val="none" w:sz="0" w:space="0" w:color="auto"/>
            <w:left w:val="none" w:sz="0" w:space="0" w:color="auto"/>
            <w:bottom w:val="none" w:sz="0" w:space="0" w:color="auto"/>
            <w:right w:val="none" w:sz="0" w:space="0" w:color="auto"/>
          </w:divBdr>
        </w:div>
        <w:div w:id="477765945">
          <w:marLeft w:val="446"/>
          <w:marRight w:val="0"/>
          <w:marTop w:val="0"/>
          <w:marBottom w:val="120"/>
          <w:divBdr>
            <w:top w:val="none" w:sz="0" w:space="0" w:color="auto"/>
            <w:left w:val="none" w:sz="0" w:space="0" w:color="auto"/>
            <w:bottom w:val="none" w:sz="0" w:space="0" w:color="auto"/>
            <w:right w:val="none" w:sz="0" w:space="0" w:color="auto"/>
          </w:divBdr>
        </w:div>
        <w:div w:id="1668366252">
          <w:marLeft w:val="446"/>
          <w:marRight w:val="0"/>
          <w:marTop w:val="0"/>
          <w:marBottom w:val="120"/>
          <w:divBdr>
            <w:top w:val="none" w:sz="0" w:space="0" w:color="auto"/>
            <w:left w:val="none" w:sz="0" w:space="0" w:color="auto"/>
            <w:bottom w:val="none" w:sz="0" w:space="0" w:color="auto"/>
            <w:right w:val="none" w:sz="0" w:space="0" w:color="auto"/>
          </w:divBdr>
        </w:div>
        <w:div w:id="2105496289">
          <w:marLeft w:val="446"/>
          <w:marRight w:val="0"/>
          <w:marTop w:val="0"/>
          <w:marBottom w:val="120"/>
          <w:divBdr>
            <w:top w:val="none" w:sz="0" w:space="0" w:color="auto"/>
            <w:left w:val="none" w:sz="0" w:space="0" w:color="auto"/>
            <w:bottom w:val="none" w:sz="0" w:space="0" w:color="auto"/>
            <w:right w:val="none" w:sz="0" w:space="0" w:color="auto"/>
          </w:divBdr>
        </w:div>
      </w:divsChild>
    </w:div>
    <w:div w:id="1019085910">
      <w:bodyDiv w:val="1"/>
      <w:marLeft w:val="0"/>
      <w:marRight w:val="0"/>
      <w:marTop w:val="0"/>
      <w:marBottom w:val="0"/>
      <w:divBdr>
        <w:top w:val="none" w:sz="0" w:space="0" w:color="auto"/>
        <w:left w:val="none" w:sz="0" w:space="0" w:color="auto"/>
        <w:bottom w:val="none" w:sz="0" w:space="0" w:color="auto"/>
        <w:right w:val="none" w:sz="0" w:space="0" w:color="auto"/>
      </w:divBdr>
    </w:div>
    <w:div w:id="1078288992">
      <w:bodyDiv w:val="1"/>
      <w:marLeft w:val="0"/>
      <w:marRight w:val="0"/>
      <w:marTop w:val="0"/>
      <w:marBottom w:val="0"/>
      <w:divBdr>
        <w:top w:val="none" w:sz="0" w:space="0" w:color="auto"/>
        <w:left w:val="none" w:sz="0" w:space="0" w:color="auto"/>
        <w:bottom w:val="none" w:sz="0" w:space="0" w:color="auto"/>
        <w:right w:val="none" w:sz="0" w:space="0" w:color="auto"/>
      </w:divBdr>
    </w:div>
    <w:div w:id="1139345916">
      <w:bodyDiv w:val="1"/>
      <w:marLeft w:val="0"/>
      <w:marRight w:val="0"/>
      <w:marTop w:val="0"/>
      <w:marBottom w:val="0"/>
      <w:divBdr>
        <w:top w:val="none" w:sz="0" w:space="0" w:color="auto"/>
        <w:left w:val="none" w:sz="0" w:space="0" w:color="auto"/>
        <w:bottom w:val="none" w:sz="0" w:space="0" w:color="auto"/>
        <w:right w:val="none" w:sz="0" w:space="0" w:color="auto"/>
      </w:divBdr>
    </w:div>
    <w:div w:id="1143352388">
      <w:bodyDiv w:val="1"/>
      <w:marLeft w:val="0"/>
      <w:marRight w:val="0"/>
      <w:marTop w:val="0"/>
      <w:marBottom w:val="0"/>
      <w:divBdr>
        <w:top w:val="none" w:sz="0" w:space="0" w:color="auto"/>
        <w:left w:val="none" w:sz="0" w:space="0" w:color="auto"/>
        <w:bottom w:val="none" w:sz="0" w:space="0" w:color="auto"/>
        <w:right w:val="none" w:sz="0" w:space="0" w:color="auto"/>
      </w:divBdr>
    </w:div>
    <w:div w:id="1201162417">
      <w:bodyDiv w:val="1"/>
      <w:marLeft w:val="0"/>
      <w:marRight w:val="0"/>
      <w:marTop w:val="0"/>
      <w:marBottom w:val="0"/>
      <w:divBdr>
        <w:top w:val="none" w:sz="0" w:space="0" w:color="auto"/>
        <w:left w:val="none" w:sz="0" w:space="0" w:color="auto"/>
        <w:bottom w:val="none" w:sz="0" w:space="0" w:color="auto"/>
        <w:right w:val="none" w:sz="0" w:space="0" w:color="auto"/>
      </w:divBdr>
    </w:div>
    <w:div w:id="1214776291">
      <w:bodyDiv w:val="1"/>
      <w:marLeft w:val="0"/>
      <w:marRight w:val="0"/>
      <w:marTop w:val="0"/>
      <w:marBottom w:val="0"/>
      <w:divBdr>
        <w:top w:val="none" w:sz="0" w:space="0" w:color="auto"/>
        <w:left w:val="none" w:sz="0" w:space="0" w:color="auto"/>
        <w:bottom w:val="none" w:sz="0" w:space="0" w:color="auto"/>
        <w:right w:val="none" w:sz="0" w:space="0" w:color="auto"/>
      </w:divBdr>
    </w:div>
    <w:div w:id="1303923873">
      <w:bodyDiv w:val="1"/>
      <w:marLeft w:val="0"/>
      <w:marRight w:val="0"/>
      <w:marTop w:val="0"/>
      <w:marBottom w:val="0"/>
      <w:divBdr>
        <w:top w:val="none" w:sz="0" w:space="0" w:color="auto"/>
        <w:left w:val="none" w:sz="0" w:space="0" w:color="auto"/>
        <w:bottom w:val="none" w:sz="0" w:space="0" w:color="auto"/>
        <w:right w:val="none" w:sz="0" w:space="0" w:color="auto"/>
      </w:divBdr>
    </w:div>
    <w:div w:id="1400012780">
      <w:bodyDiv w:val="1"/>
      <w:marLeft w:val="0"/>
      <w:marRight w:val="0"/>
      <w:marTop w:val="0"/>
      <w:marBottom w:val="0"/>
      <w:divBdr>
        <w:top w:val="none" w:sz="0" w:space="0" w:color="auto"/>
        <w:left w:val="none" w:sz="0" w:space="0" w:color="auto"/>
        <w:bottom w:val="none" w:sz="0" w:space="0" w:color="auto"/>
        <w:right w:val="none" w:sz="0" w:space="0" w:color="auto"/>
      </w:divBdr>
    </w:div>
    <w:div w:id="1678842263">
      <w:bodyDiv w:val="1"/>
      <w:marLeft w:val="0"/>
      <w:marRight w:val="0"/>
      <w:marTop w:val="0"/>
      <w:marBottom w:val="0"/>
      <w:divBdr>
        <w:top w:val="none" w:sz="0" w:space="0" w:color="auto"/>
        <w:left w:val="none" w:sz="0" w:space="0" w:color="auto"/>
        <w:bottom w:val="none" w:sz="0" w:space="0" w:color="auto"/>
        <w:right w:val="none" w:sz="0" w:space="0" w:color="auto"/>
      </w:divBdr>
    </w:div>
    <w:div w:id="1876847215">
      <w:bodyDiv w:val="1"/>
      <w:marLeft w:val="0"/>
      <w:marRight w:val="0"/>
      <w:marTop w:val="0"/>
      <w:marBottom w:val="0"/>
      <w:divBdr>
        <w:top w:val="none" w:sz="0" w:space="0" w:color="auto"/>
        <w:left w:val="none" w:sz="0" w:space="0" w:color="auto"/>
        <w:bottom w:val="none" w:sz="0" w:space="0" w:color="auto"/>
        <w:right w:val="none" w:sz="0" w:space="0" w:color="auto"/>
      </w:divBdr>
      <w:divsChild>
        <w:div w:id="318506406">
          <w:marLeft w:val="0"/>
          <w:marRight w:val="0"/>
          <w:marTop w:val="0"/>
          <w:marBottom w:val="0"/>
          <w:divBdr>
            <w:top w:val="none" w:sz="0" w:space="0" w:color="auto"/>
            <w:left w:val="none" w:sz="0" w:space="0" w:color="auto"/>
            <w:bottom w:val="none" w:sz="0" w:space="0" w:color="auto"/>
            <w:right w:val="none" w:sz="0" w:space="0" w:color="auto"/>
          </w:divBdr>
        </w:div>
        <w:div w:id="946741298">
          <w:marLeft w:val="0"/>
          <w:marRight w:val="0"/>
          <w:marTop w:val="0"/>
          <w:marBottom w:val="0"/>
          <w:divBdr>
            <w:top w:val="none" w:sz="0" w:space="0" w:color="auto"/>
            <w:left w:val="none" w:sz="0" w:space="0" w:color="auto"/>
            <w:bottom w:val="none" w:sz="0" w:space="0" w:color="auto"/>
            <w:right w:val="none" w:sz="0" w:space="0" w:color="auto"/>
          </w:divBdr>
        </w:div>
        <w:div w:id="526911402">
          <w:marLeft w:val="0"/>
          <w:marRight w:val="0"/>
          <w:marTop w:val="0"/>
          <w:marBottom w:val="0"/>
          <w:divBdr>
            <w:top w:val="none" w:sz="0" w:space="0" w:color="auto"/>
            <w:left w:val="none" w:sz="0" w:space="0" w:color="auto"/>
            <w:bottom w:val="none" w:sz="0" w:space="0" w:color="auto"/>
            <w:right w:val="none" w:sz="0" w:space="0" w:color="auto"/>
          </w:divBdr>
        </w:div>
        <w:div w:id="370615598">
          <w:marLeft w:val="0"/>
          <w:marRight w:val="0"/>
          <w:marTop w:val="0"/>
          <w:marBottom w:val="0"/>
          <w:divBdr>
            <w:top w:val="none" w:sz="0" w:space="0" w:color="auto"/>
            <w:left w:val="none" w:sz="0" w:space="0" w:color="auto"/>
            <w:bottom w:val="none" w:sz="0" w:space="0" w:color="auto"/>
            <w:right w:val="none" w:sz="0" w:space="0" w:color="auto"/>
          </w:divBdr>
        </w:div>
        <w:div w:id="1798253404">
          <w:marLeft w:val="0"/>
          <w:marRight w:val="0"/>
          <w:marTop w:val="0"/>
          <w:marBottom w:val="0"/>
          <w:divBdr>
            <w:top w:val="none" w:sz="0" w:space="0" w:color="auto"/>
            <w:left w:val="none" w:sz="0" w:space="0" w:color="auto"/>
            <w:bottom w:val="none" w:sz="0" w:space="0" w:color="auto"/>
            <w:right w:val="none" w:sz="0" w:space="0" w:color="auto"/>
          </w:divBdr>
        </w:div>
      </w:divsChild>
    </w:div>
    <w:div w:id="1919708894">
      <w:bodyDiv w:val="1"/>
      <w:marLeft w:val="0"/>
      <w:marRight w:val="0"/>
      <w:marTop w:val="0"/>
      <w:marBottom w:val="0"/>
      <w:divBdr>
        <w:top w:val="none" w:sz="0" w:space="0" w:color="auto"/>
        <w:left w:val="none" w:sz="0" w:space="0" w:color="auto"/>
        <w:bottom w:val="none" w:sz="0" w:space="0" w:color="auto"/>
        <w:right w:val="none" w:sz="0" w:space="0" w:color="auto"/>
      </w:divBdr>
      <w:divsChild>
        <w:div w:id="1754425134">
          <w:marLeft w:val="0"/>
          <w:marRight w:val="0"/>
          <w:marTop w:val="0"/>
          <w:marBottom w:val="0"/>
          <w:divBdr>
            <w:top w:val="none" w:sz="0" w:space="0" w:color="auto"/>
            <w:left w:val="none" w:sz="0" w:space="0" w:color="auto"/>
            <w:bottom w:val="none" w:sz="0" w:space="0" w:color="auto"/>
            <w:right w:val="none" w:sz="0" w:space="0" w:color="auto"/>
          </w:divBdr>
          <w:divsChild>
            <w:div w:id="1952466324">
              <w:marLeft w:val="0"/>
              <w:marRight w:val="0"/>
              <w:marTop w:val="0"/>
              <w:marBottom w:val="0"/>
              <w:divBdr>
                <w:top w:val="none" w:sz="0" w:space="0" w:color="auto"/>
                <w:left w:val="none" w:sz="0" w:space="0" w:color="auto"/>
                <w:bottom w:val="none" w:sz="0" w:space="0" w:color="auto"/>
                <w:right w:val="none" w:sz="0" w:space="0" w:color="auto"/>
              </w:divBdr>
              <w:divsChild>
                <w:div w:id="1863669062">
                  <w:marLeft w:val="0"/>
                  <w:marRight w:val="0"/>
                  <w:marTop w:val="0"/>
                  <w:marBottom w:val="0"/>
                  <w:divBdr>
                    <w:top w:val="none" w:sz="0" w:space="0" w:color="auto"/>
                    <w:left w:val="none" w:sz="0" w:space="0" w:color="auto"/>
                    <w:bottom w:val="single" w:sz="6" w:space="0" w:color="DDDDDD"/>
                    <w:right w:val="none" w:sz="0" w:space="0" w:color="auto"/>
                  </w:divBdr>
                  <w:divsChild>
                    <w:div w:id="1650357899">
                      <w:marLeft w:val="0"/>
                      <w:marRight w:val="0"/>
                      <w:marTop w:val="0"/>
                      <w:marBottom w:val="0"/>
                      <w:divBdr>
                        <w:top w:val="none" w:sz="0" w:space="0" w:color="auto"/>
                        <w:left w:val="none" w:sz="0" w:space="0" w:color="auto"/>
                        <w:bottom w:val="none" w:sz="0" w:space="0" w:color="auto"/>
                        <w:right w:val="none" w:sz="0" w:space="0" w:color="auto"/>
                      </w:divBdr>
                      <w:divsChild>
                        <w:div w:id="1117721404">
                          <w:marLeft w:val="0"/>
                          <w:marRight w:val="0"/>
                          <w:marTop w:val="0"/>
                          <w:marBottom w:val="0"/>
                          <w:divBdr>
                            <w:top w:val="none" w:sz="0" w:space="0" w:color="auto"/>
                            <w:left w:val="none" w:sz="0" w:space="0" w:color="auto"/>
                            <w:bottom w:val="none" w:sz="0" w:space="0" w:color="auto"/>
                            <w:right w:val="none" w:sz="0" w:space="0" w:color="auto"/>
                          </w:divBdr>
                          <w:divsChild>
                            <w:div w:id="1614095317">
                              <w:marLeft w:val="0"/>
                              <w:marRight w:val="0"/>
                              <w:marTop w:val="0"/>
                              <w:marBottom w:val="0"/>
                              <w:divBdr>
                                <w:top w:val="none" w:sz="0" w:space="0" w:color="auto"/>
                                <w:left w:val="none" w:sz="0" w:space="0" w:color="auto"/>
                                <w:bottom w:val="none" w:sz="0" w:space="0" w:color="auto"/>
                                <w:right w:val="none" w:sz="0" w:space="0" w:color="auto"/>
                              </w:divBdr>
                              <w:divsChild>
                                <w:div w:id="971666980">
                                  <w:marLeft w:val="0"/>
                                  <w:marRight w:val="0"/>
                                  <w:marTop w:val="0"/>
                                  <w:marBottom w:val="0"/>
                                  <w:divBdr>
                                    <w:top w:val="none" w:sz="0" w:space="0" w:color="auto"/>
                                    <w:left w:val="none" w:sz="0" w:space="0" w:color="auto"/>
                                    <w:bottom w:val="none" w:sz="0" w:space="0" w:color="auto"/>
                                    <w:right w:val="none" w:sz="0" w:space="0" w:color="auto"/>
                                  </w:divBdr>
                                  <w:divsChild>
                                    <w:div w:id="80414195">
                                      <w:marLeft w:val="0"/>
                                      <w:marRight w:val="0"/>
                                      <w:marTop w:val="0"/>
                                      <w:marBottom w:val="0"/>
                                      <w:divBdr>
                                        <w:top w:val="none" w:sz="0" w:space="0" w:color="auto"/>
                                        <w:left w:val="none" w:sz="0" w:space="0" w:color="auto"/>
                                        <w:bottom w:val="none" w:sz="0" w:space="0" w:color="auto"/>
                                        <w:right w:val="none" w:sz="0" w:space="0" w:color="auto"/>
                                      </w:divBdr>
                                      <w:divsChild>
                                        <w:div w:id="1664164730">
                                          <w:marLeft w:val="0"/>
                                          <w:marRight w:val="0"/>
                                          <w:marTop w:val="0"/>
                                          <w:marBottom w:val="0"/>
                                          <w:divBdr>
                                            <w:top w:val="none" w:sz="0" w:space="0" w:color="auto"/>
                                            <w:left w:val="none" w:sz="0" w:space="0" w:color="auto"/>
                                            <w:bottom w:val="none" w:sz="0" w:space="0" w:color="auto"/>
                                            <w:right w:val="none" w:sz="0" w:space="0" w:color="auto"/>
                                          </w:divBdr>
                                          <w:divsChild>
                                            <w:div w:id="1659765215">
                                              <w:marLeft w:val="0"/>
                                              <w:marRight w:val="0"/>
                                              <w:marTop w:val="0"/>
                                              <w:marBottom w:val="0"/>
                                              <w:divBdr>
                                                <w:top w:val="none" w:sz="0" w:space="0" w:color="auto"/>
                                                <w:left w:val="none" w:sz="0" w:space="0" w:color="auto"/>
                                                <w:bottom w:val="none" w:sz="0" w:space="0" w:color="auto"/>
                                                <w:right w:val="none" w:sz="0" w:space="0" w:color="auto"/>
                                              </w:divBdr>
                                              <w:divsChild>
                                                <w:div w:id="1705711460">
                                                  <w:marLeft w:val="0"/>
                                                  <w:marRight w:val="0"/>
                                                  <w:marTop w:val="0"/>
                                                  <w:marBottom w:val="0"/>
                                                  <w:divBdr>
                                                    <w:top w:val="none" w:sz="0" w:space="0" w:color="auto"/>
                                                    <w:left w:val="none" w:sz="0" w:space="0" w:color="auto"/>
                                                    <w:bottom w:val="none" w:sz="0" w:space="0" w:color="auto"/>
                                                    <w:right w:val="none" w:sz="0" w:space="0" w:color="auto"/>
                                                  </w:divBdr>
                                                  <w:divsChild>
                                                    <w:div w:id="1224759331">
                                                      <w:marLeft w:val="0"/>
                                                      <w:marRight w:val="0"/>
                                                      <w:marTop w:val="0"/>
                                                      <w:marBottom w:val="0"/>
                                                      <w:divBdr>
                                                        <w:top w:val="none" w:sz="0" w:space="0" w:color="auto"/>
                                                        <w:left w:val="none" w:sz="0" w:space="0" w:color="auto"/>
                                                        <w:bottom w:val="none" w:sz="0" w:space="0" w:color="auto"/>
                                                        <w:right w:val="none" w:sz="0" w:space="0" w:color="auto"/>
                                                      </w:divBdr>
                                                      <w:divsChild>
                                                        <w:div w:id="5763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8147174">
      <w:bodyDiv w:val="1"/>
      <w:marLeft w:val="0"/>
      <w:marRight w:val="0"/>
      <w:marTop w:val="0"/>
      <w:marBottom w:val="0"/>
      <w:divBdr>
        <w:top w:val="none" w:sz="0" w:space="0" w:color="auto"/>
        <w:left w:val="none" w:sz="0" w:space="0" w:color="auto"/>
        <w:bottom w:val="none" w:sz="0" w:space="0" w:color="auto"/>
        <w:right w:val="none" w:sz="0" w:space="0" w:color="auto"/>
      </w:divBdr>
    </w:div>
    <w:div w:id="2033334983">
      <w:bodyDiv w:val="1"/>
      <w:marLeft w:val="0"/>
      <w:marRight w:val="0"/>
      <w:marTop w:val="0"/>
      <w:marBottom w:val="0"/>
      <w:divBdr>
        <w:top w:val="none" w:sz="0" w:space="0" w:color="auto"/>
        <w:left w:val="none" w:sz="0" w:space="0" w:color="auto"/>
        <w:bottom w:val="none" w:sz="0" w:space="0" w:color="auto"/>
        <w:right w:val="none" w:sz="0" w:space="0" w:color="auto"/>
      </w:divBdr>
    </w:div>
    <w:div w:id="204852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12.png"/><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image" Target="media/image15.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image" Target="media/image18.jpe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image" Target="media/image14.jpeg"/><Relationship Id="rId36" Type="http://schemas.openxmlformats.org/officeDocument/2006/relationships/footer" Target="footer5.xml"/><Relationship Id="rId10" Type="http://schemas.openxmlformats.org/officeDocument/2006/relationships/settings" Target="settings.xml"/><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footer" Target="footer2.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_rels/header5.xml.rels><?xml version="1.0" encoding="UTF-8" standalone="yes"?>
<Relationships xmlns="http://schemas.openxmlformats.org/package/2006/relationships"><Relationship Id="rId1" Type="http://schemas.openxmlformats.org/officeDocument/2006/relationships/image" Target="media/image6.emf"/></Relationships>
</file>

<file path=word/_rels/header6.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Aurecon%20Templates\Templates\Proposal-%20Report%20Sh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BB0A1D61FA34C65AE064C145E9D07AE"/>
        <w:category>
          <w:name w:val="General"/>
          <w:gallery w:val="placeholder"/>
        </w:category>
        <w:types>
          <w:type w:val="bbPlcHdr"/>
        </w:types>
        <w:behaviors>
          <w:behavior w:val="content"/>
        </w:behaviors>
        <w:guid w:val="{13F099FB-AA7E-439F-BF9A-23B59D0B290E}"/>
      </w:docPartPr>
      <w:docPartBody>
        <w:p w:rsidR="00770A33" w:rsidRDefault="001E64A8">
          <w:pPr>
            <w:pStyle w:val="ABB0A1D61FA34C65AE064C145E9D07AE"/>
          </w:pPr>
          <w:r w:rsidRPr="00A50B48">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1E64A8"/>
    <w:rsid w:val="0002508F"/>
    <w:rsid w:val="00030DCE"/>
    <w:rsid w:val="00061407"/>
    <w:rsid w:val="00065E6A"/>
    <w:rsid w:val="0009166C"/>
    <w:rsid w:val="00094282"/>
    <w:rsid w:val="000B03C6"/>
    <w:rsid w:val="000C4773"/>
    <w:rsid w:val="000C7880"/>
    <w:rsid w:val="000E449F"/>
    <w:rsid w:val="000F7E4F"/>
    <w:rsid w:val="00101CB0"/>
    <w:rsid w:val="00107531"/>
    <w:rsid w:val="00181E5F"/>
    <w:rsid w:val="001B0C0E"/>
    <w:rsid w:val="001D79E1"/>
    <w:rsid w:val="001E64A8"/>
    <w:rsid w:val="001F016B"/>
    <w:rsid w:val="001F6601"/>
    <w:rsid w:val="00200D0E"/>
    <w:rsid w:val="00214FA0"/>
    <w:rsid w:val="00295D7D"/>
    <w:rsid w:val="002A3348"/>
    <w:rsid w:val="002A4562"/>
    <w:rsid w:val="002C7100"/>
    <w:rsid w:val="003006B6"/>
    <w:rsid w:val="003125D2"/>
    <w:rsid w:val="003418AE"/>
    <w:rsid w:val="003477E9"/>
    <w:rsid w:val="00360774"/>
    <w:rsid w:val="00363965"/>
    <w:rsid w:val="003823AF"/>
    <w:rsid w:val="003879BC"/>
    <w:rsid w:val="003B54FE"/>
    <w:rsid w:val="003C127F"/>
    <w:rsid w:val="003D1E12"/>
    <w:rsid w:val="003D2DAD"/>
    <w:rsid w:val="003D6B96"/>
    <w:rsid w:val="003E2F9D"/>
    <w:rsid w:val="0040049E"/>
    <w:rsid w:val="00417729"/>
    <w:rsid w:val="00451E94"/>
    <w:rsid w:val="00455D23"/>
    <w:rsid w:val="00460A67"/>
    <w:rsid w:val="004658D0"/>
    <w:rsid w:val="004930E1"/>
    <w:rsid w:val="004A2F82"/>
    <w:rsid w:val="004D5170"/>
    <w:rsid w:val="004F696A"/>
    <w:rsid w:val="00506072"/>
    <w:rsid w:val="005144CE"/>
    <w:rsid w:val="00530B96"/>
    <w:rsid w:val="005401BD"/>
    <w:rsid w:val="005A21D5"/>
    <w:rsid w:val="005C7E2B"/>
    <w:rsid w:val="005E141B"/>
    <w:rsid w:val="005E5CD3"/>
    <w:rsid w:val="005F5DF6"/>
    <w:rsid w:val="00611DCE"/>
    <w:rsid w:val="00617C65"/>
    <w:rsid w:val="00627AA6"/>
    <w:rsid w:val="0063693C"/>
    <w:rsid w:val="006423DA"/>
    <w:rsid w:val="00664BA5"/>
    <w:rsid w:val="006714FE"/>
    <w:rsid w:val="00693466"/>
    <w:rsid w:val="006C0DB8"/>
    <w:rsid w:val="006C1F24"/>
    <w:rsid w:val="006F2B4E"/>
    <w:rsid w:val="0073222E"/>
    <w:rsid w:val="007374B8"/>
    <w:rsid w:val="00767D8C"/>
    <w:rsid w:val="00770A33"/>
    <w:rsid w:val="00783187"/>
    <w:rsid w:val="00795ED9"/>
    <w:rsid w:val="007D0634"/>
    <w:rsid w:val="007E1140"/>
    <w:rsid w:val="007F3D6A"/>
    <w:rsid w:val="007F3FF7"/>
    <w:rsid w:val="00800E6A"/>
    <w:rsid w:val="00801350"/>
    <w:rsid w:val="00811BE5"/>
    <w:rsid w:val="0081277D"/>
    <w:rsid w:val="00823638"/>
    <w:rsid w:val="00835194"/>
    <w:rsid w:val="008533EF"/>
    <w:rsid w:val="00870DF7"/>
    <w:rsid w:val="0089710A"/>
    <w:rsid w:val="00897595"/>
    <w:rsid w:val="008B1C47"/>
    <w:rsid w:val="008C2A49"/>
    <w:rsid w:val="008F7EA9"/>
    <w:rsid w:val="00920707"/>
    <w:rsid w:val="009658B6"/>
    <w:rsid w:val="00976B4F"/>
    <w:rsid w:val="009E5354"/>
    <w:rsid w:val="00A211DC"/>
    <w:rsid w:val="00A37093"/>
    <w:rsid w:val="00A4052F"/>
    <w:rsid w:val="00A4283E"/>
    <w:rsid w:val="00A43323"/>
    <w:rsid w:val="00A449E9"/>
    <w:rsid w:val="00A5166D"/>
    <w:rsid w:val="00A6061E"/>
    <w:rsid w:val="00A86A29"/>
    <w:rsid w:val="00A9214A"/>
    <w:rsid w:val="00AA200C"/>
    <w:rsid w:val="00AA2627"/>
    <w:rsid w:val="00AA6628"/>
    <w:rsid w:val="00AC70FA"/>
    <w:rsid w:val="00AE0E18"/>
    <w:rsid w:val="00B16BC0"/>
    <w:rsid w:val="00B274BB"/>
    <w:rsid w:val="00B4028A"/>
    <w:rsid w:val="00B62319"/>
    <w:rsid w:val="00B90845"/>
    <w:rsid w:val="00B90FBB"/>
    <w:rsid w:val="00B96A9D"/>
    <w:rsid w:val="00BB1851"/>
    <w:rsid w:val="00BE126A"/>
    <w:rsid w:val="00BF3CEA"/>
    <w:rsid w:val="00C14ABD"/>
    <w:rsid w:val="00C2131F"/>
    <w:rsid w:val="00C75C90"/>
    <w:rsid w:val="00CA7B74"/>
    <w:rsid w:val="00CB2973"/>
    <w:rsid w:val="00CD254E"/>
    <w:rsid w:val="00CD439F"/>
    <w:rsid w:val="00CD75AC"/>
    <w:rsid w:val="00CE4935"/>
    <w:rsid w:val="00CE6FAA"/>
    <w:rsid w:val="00CF7178"/>
    <w:rsid w:val="00D42B69"/>
    <w:rsid w:val="00D73BAB"/>
    <w:rsid w:val="00D76EB2"/>
    <w:rsid w:val="00E10FB8"/>
    <w:rsid w:val="00E13D87"/>
    <w:rsid w:val="00E20D3F"/>
    <w:rsid w:val="00E3787A"/>
    <w:rsid w:val="00E57882"/>
    <w:rsid w:val="00E7710C"/>
    <w:rsid w:val="00E86653"/>
    <w:rsid w:val="00EB27B9"/>
    <w:rsid w:val="00EB3854"/>
    <w:rsid w:val="00EF0997"/>
    <w:rsid w:val="00F17F19"/>
    <w:rsid w:val="00F30F1B"/>
    <w:rsid w:val="00F36B3F"/>
    <w:rsid w:val="00F37392"/>
    <w:rsid w:val="00F75336"/>
    <w:rsid w:val="00F76219"/>
    <w:rsid w:val="00FB1866"/>
    <w:rsid w:val="00FC1AB9"/>
    <w:rsid w:val="00FC269F"/>
    <w:rsid w:val="00FC6EDA"/>
    <w:rsid w:val="00FC796A"/>
    <w:rsid w:val="00FD34CD"/>
    <w:rsid w:val="00FE2E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0A67"/>
    <w:rPr>
      <w:rFonts w:cs="Times New Roman"/>
      <w:color w:val="808080"/>
    </w:rPr>
  </w:style>
  <w:style w:type="paragraph" w:customStyle="1" w:styleId="ABB0A1D61FA34C65AE064C145E9D07AE">
    <w:name w:val="ABB0A1D61FA34C65AE064C145E9D07AE"/>
    <w:rsid w:val="00460A67"/>
  </w:style>
  <w:style w:type="paragraph" w:customStyle="1" w:styleId="D6D66F49C3B4456695F9630F0EE51052">
    <w:name w:val="D6D66F49C3B4456695F9630F0EE51052"/>
    <w:rsid w:val="000E449F"/>
    <w:rPr>
      <w:lang w:val="en-AU" w:eastAsia="en-AU"/>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urecon">
  <a:themeElements>
    <a:clrScheme name="Aurecon">
      <a:dk1>
        <a:srgbClr val="353D30"/>
      </a:dk1>
      <a:lt1>
        <a:sysClr val="window" lastClr="FFFFFF"/>
      </a:lt1>
      <a:dk2>
        <a:srgbClr val="009FDA"/>
      </a:dk2>
      <a:lt2>
        <a:srgbClr val="F1F8E5"/>
      </a:lt2>
      <a:accent1>
        <a:srgbClr val="7AB800"/>
      </a:accent1>
      <a:accent2>
        <a:srgbClr val="353D30"/>
      </a:accent2>
      <a:accent3>
        <a:srgbClr val="BABFB7"/>
      </a:accent3>
      <a:accent4>
        <a:srgbClr val="EFF0EF"/>
      </a:accent4>
      <a:accent5>
        <a:srgbClr val="C4E58E"/>
      </a:accent5>
      <a:accent6>
        <a:srgbClr val="EAECE9"/>
      </a:accent6>
      <a:hlink>
        <a:srgbClr val="FFFFFF"/>
      </a:hlink>
      <a:folHlink>
        <a:srgbClr val="FFFFFF"/>
      </a:folHlink>
    </a:clrScheme>
    <a:fontScheme name="AureconHatc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root>
  <date>Date</date>
  <projectname>ProjectName</projectname>
  <projectno>ProjectNo</projectno>
  <revision>0</revision>
  <reference/>
  <company>
    <companyname>Company Name</companyname>
    <companyabn>Company ABN</companyabn>
    <companyaddress1>Company Address1</companyaddress1>
    <companyaddress2>Company Address2</companyaddress2>
    <companyaddress3>Company Address3</companyaddress3>
    <companytelephone>Company Telephone</companytelephone>
    <companyfax>Company Fax</companyfax>
    <companyemail>Company Email</companyemail>
    <companyweb>Company Web</companyweb>
  </company>
</root>
</file>

<file path=customXml/item2.xml><?xml version="1.0" encoding="utf-8"?>
<root>
  <date>2013-09-09T00:00:00</date>
  <projectname>Freight Logistics Coordination Team Major Consultancy Support to Work Program</projectname>
  <projectno>234986</projectno>
  <revision>0</revision>
  <client>Department of Infrastructure, Energy and Resources</client>
  <projectdetails>Tasmanian Shipping and Ports</projectdetails>
  <disclaimer>Aurecon</disclaimer>
  <reference/>
  <company>
    <companyname>Aurecon Australia Pty Ltd</companyname>
    <companyabn>ABN 54 005 139 873</companyabn>
    <companyaddress1>urecon Centre
Level 8, 850 Collins Street
Docklands VIC 300</companyaddress1>
    <companyaddress2>O Box 23061
Docklands VIC 801</companyaddress2>
    <companyaddress3>Australia</companyaddress3>
    <companytelephone>+61 3 9975 3000</companytelephone>
    <companyfax>+61 3 9975 3444</companyfax>
    <companyemail>melbourne@aurecongroup.com</companyemail>
    <companyweb>aurecongroup.com</companyweb>
  </company>
</root>
</file>

<file path=customXml/item3.xml><?xml version="1.0" encoding="utf-8"?>
<b:Sources xmlns:b="http://schemas.openxmlformats.org/officeDocument/2006/bibliography" xmlns="http://schemas.openxmlformats.org/officeDocument/2006/bibliography" SelectedStyle="\APA.XSL" StyleName="APA">
</b:Sources>
</file>

<file path=customXml/item4.xml><?xml version="1.0" encoding="utf-8"?>
<b:Sources xmlns:b="http://schemas.openxmlformats.org/officeDocument/2006/bibliography" xmlns="http://schemas.openxmlformats.org/officeDocument/2006/bibliography" SelectedStyle="\APA.XSL" StyleName="APA">
</b:Sources>
</file>

<file path=customXml/item5.xml><?xml version="1.0" encoding="utf-8"?>
<b:Sources xmlns:b="http://schemas.openxmlformats.org/officeDocument/2006/bibliography" xmlns="http://schemas.openxmlformats.org/officeDocument/2006/bibliography" SelectedStyle="\APA.XSL" StyleName="APA">
</b:Sources>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AB11DF5D-B8DC-4408-9F44-22D964337533}">
  <ds:schemaRefs/>
</ds:datastoreItem>
</file>

<file path=customXml/itemProps2.xml><?xml version="1.0" encoding="utf-8"?>
<ds:datastoreItem xmlns:ds="http://schemas.openxmlformats.org/officeDocument/2006/customXml" ds:itemID="{FFD81A59-B074-45B3-B3B7-CA5E6F5AEDEE}">
  <ds:schemaRefs/>
</ds:datastoreItem>
</file>

<file path=customXml/itemProps3.xml><?xml version="1.0" encoding="utf-8"?>
<ds:datastoreItem xmlns:ds="http://schemas.openxmlformats.org/officeDocument/2006/customXml" ds:itemID="{C628D49D-F8E8-4CEE-A549-4F3189314DE3}">
  <ds:schemaRefs>
    <ds:schemaRef ds:uri="http://schemas.openxmlformats.org/officeDocument/2006/bibliography"/>
  </ds:schemaRefs>
</ds:datastoreItem>
</file>

<file path=customXml/itemProps4.xml><?xml version="1.0" encoding="utf-8"?>
<ds:datastoreItem xmlns:ds="http://schemas.openxmlformats.org/officeDocument/2006/customXml" ds:itemID="{1F6D0B45-EB12-4FF0-9D57-9AE9E44FE711}">
  <ds:schemaRefs>
    <ds:schemaRef ds:uri="http://schemas.openxmlformats.org/officeDocument/2006/bibliography"/>
  </ds:schemaRefs>
</ds:datastoreItem>
</file>

<file path=customXml/itemProps5.xml><?xml version="1.0" encoding="utf-8"?>
<ds:datastoreItem xmlns:ds="http://schemas.openxmlformats.org/officeDocument/2006/customXml" ds:itemID="{8E08DF0C-DC32-49C1-B041-E79A63D22FCA}">
  <ds:schemaRefs>
    <ds:schemaRef ds:uri="http://schemas.openxmlformats.org/officeDocument/2006/bibliography"/>
  </ds:schemaRefs>
</ds:datastoreItem>
</file>

<file path=customXml/itemProps6.xml><?xml version="1.0" encoding="utf-8"?>
<ds:datastoreItem xmlns:ds="http://schemas.openxmlformats.org/officeDocument/2006/customXml" ds:itemID="{B769A350-DAD1-4BCC-994A-4CC6122A8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Report Short</Template>
  <TotalTime>1</TotalTime>
  <Pages>31</Pages>
  <Words>15363</Words>
  <Characters>92334</Characters>
  <Application>Microsoft Office Word</Application>
  <DocSecurity>10</DocSecurity>
  <Lines>2308</Lines>
  <Paragraphs>1363</Paragraphs>
  <ScaleCrop>false</ScaleCrop>
  <HeadingPairs>
    <vt:vector size="2" baseType="variant">
      <vt:variant>
        <vt:lpstr>Title</vt:lpstr>
      </vt:variant>
      <vt:variant>
        <vt:i4>1</vt:i4>
      </vt:variant>
    </vt:vector>
  </HeadingPairs>
  <TitlesOfParts>
    <vt:vector size="1" baseType="lpstr">
      <vt:lpstr/>
    </vt:vector>
  </TitlesOfParts>
  <Company>Aurecon</Company>
  <LinksUpToDate>false</LinksUpToDate>
  <CharactersWithSpaces>106334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Monré Meyer</dc:creator>
  <cp:lastModifiedBy>Hofman, Danielle</cp:lastModifiedBy>
  <cp:revision>2</cp:revision>
  <cp:lastPrinted>2013-09-26T08:15:00Z</cp:lastPrinted>
  <dcterms:created xsi:type="dcterms:W3CDTF">2013-10-09T05:14:00Z</dcterms:created>
  <dcterms:modified xsi:type="dcterms:W3CDTF">2013-10-09T05:14:00Z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1394080178</vt:i4>
  </property>
</Properties>
</file>